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67" w:rsidRPr="00094D03" w:rsidRDefault="00A63B80" w:rsidP="00B47863">
      <w:pPr>
        <w:spacing w:after="0"/>
        <w:rPr>
          <w:rFonts w:cs="Segoe UI"/>
          <w:i/>
          <w:sz w:val="24"/>
          <w:szCs w:val="24"/>
        </w:rPr>
      </w:pPr>
      <w:r w:rsidRPr="00094D03">
        <w:rPr>
          <w:rFonts w:cs="Segoe UI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079FD6" wp14:editId="798B88F7">
            <wp:simplePos x="0" y="0"/>
            <wp:positionH relativeFrom="column">
              <wp:posOffset>-743821</wp:posOffset>
            </wp:positionH>
            <wp:positionV relativeFrom="paragraph">
              <wp:posOffset>-722763</wp:posOffset>
            </wp:positionV>
            <wp:extent cx="2286000" cy="39224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or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90" w:rsidRPr="00094D03">
        <w:rPr>
          <w:rFonts w:cs="Segoe UI"/>
          <w:i/>
          <w:sz w:val="24"/>
          <w:szCs w:val="24"/>
        </w:rPr>
        <w:t>Media</w:t>
      </w:r>
      <w:r w:rsidR="00263367" w:rsidRPr="00094D03">
        <w:rPr>
          <w:rFonts w:cs="Segoe UI"/>
          <w:i/>
          <w:sz w:val="24"/>
          <w:szCs w:val="24"/>
        </w:rPr>
        <w:t xml:space="preserve"> contact:</w:t>
      </w:r>
      <w:r w:rsidR="00B47863" w:rsidRPr="00094D03">
        <w:rPr>
          <w:rFonts w:cs="Segoe UI"/>
          <w:i/>
          <w:sz w:val="24"/>
          <w:szCs w:val="24"/>
        </w:rPr>
        <w:t xml:space="preserve"> </w:t>
      </w:r>
      <w:r w:rsidR="00263367" w:rsidRPr="00094D03">
        <w:rPr>
          <w:rFonts w:cs="Segoe UI"/>
          <w:i/>
          <w:sz w:val="24"/>
          <w:szCs w:val="24"/>
        </w:rPr>
        <w:t xml:space="preserve">Beth Bailey - </w:t>
      </w:r>
      <w:r w:rsidR="00263367" w:rsidRPr="00094D03">
        <w:rPr>
          <w:rFonts w:cs="Segoe UI"/>
          <w:i/>
          <w:iCs/>
        </w:rPr>
        <w:t>(505) 938-8393</w:t>
      </w:r>
      <w:bookmarkStart w:id="0" w:name="_GoBack"/>
      <w:bookmarkEnd w:id="0"/>
    </w:p>
    <w:p w:rsidR="00263367" w:rsidRPr="00094D03" w:rsidRDefault="00263367" w:rsidP="00263367">
      <w:pPr>
        <w:jc w:val="center"/>
        <w:rPr>
          <w:rFonts w:cs="Segoe UI"/>
          <w:b/>
          <w:sz w:val="28"/>
          <w:szCs w:val="28"/>
        </w:rPr>
      </w:pPr>
    </w:p>
    <w:p w:rsidR="00A63B80" w:rsidRPr="00094D03" w:rsidRDefault="00094D03" w:rsidP="000E7C57">
      <w:pPr>
        <w:spacing w:after="0"/>
        <w:rPr>
          <w:rFonts w:cs="Segoe UI"/>
          <w:sz w:val="26"/>
          <w:szCs w:val="26"/>
        </w:rPr>
      </w:pPr>
      <w:r>
        <w:rPr>
          <w:rFonts w:cs="Segoe UI"/>
          <w:b/>
          <w:sz w:val="26"/>
          <w:szCs w:val="26"/>
        </w:rPr>
        <w:t>TriCore Reference Laboratories is the Only Lab in the Country Offering</w:t>
      </w:r>
      <w:r w:rsidR="005846CC">
        <w:rPr>
          <w:rFonts w:cs="Segoe UI"/>
          <w:b/>
          <w:sz w:val="26"/>
          <w:szCs w:val="26"/>
        </w:rPr>
        <w:t xml:space="preserve"> Comprehensive Screening</w:t>
      </w:r>
      <w:r>
        <w:rPr>
          <w:rFonts w:cs="Segoe UI"/>
          <w:b/>
          <w:sz w:val="26"/>
          <w:szCs w:val="26"/>
        </w:rPr>
        <w:t xml:space="preserve"> f</w:t>
      </w:r>
      <w:r w:rsidRPr="00094D03">
        <w:rPr>
          <w:rFonts w:cs="Segoe UI"/>
          <w:b/>
          <w:sz w:val="26"/>
          <w:szCs w:val="26"/>
        </w:rPr>
        <w:t>or</w:t>
      </w:r>
      <w:r w:rsidR="005846CC">
        <w:rPr>
          <w:rFonts w:cs="Segoe UI"/>
          <w:b/>
          <w:i/>
          <w:sz w:val="26"/>
          <w:szCs w:val="26"/>
        </w:rPr>
        <w:t xml:space="preserve"> </w:t>
      </w:r>
      <w:r w:rsidR="00981307" w:rsidRPr="00094D03">
        <w:rPr>
          <w:rFonts w:cs="Segoe UI"/>
          <w:b/>
          <w:i/>
          <w:sz w:val="26"/>
          <w:szCs w:val="26"/>
        </w:rPr>
        <w:t>BCR</w:t>
      </w:r>
      <w:r w:rsidRPr="00094D03">
        <w:rPr>
          <w:rFonts w:cs="Segoe UI"/>
          <w:b/>
          <w:i/>
          <w:sz w:val="26"/>
          <w:szCs w:val="26"/>
        </w:rPr>
        <w:t>-</w:t>
      </w:r>
      <w:r w:rsidR="00981307" w:rsidRPr="00094D03">
        <w:rPr>
          <w:rFonts w:cs="Segoe UI"/>
          <w:b/>
          <w:i/>
          <w:sz w:val="26"/>
          <w:szCs w:val="26"/>
        </w:rPr>
        <w:t>ABL1</w:t>
      </w:r>
      <w:r>
        <w:rPr>
          <w:rFonts w:cs="Segoe UI"/>
          <w:b/>
          <w:sz w:val="26"/>
          <w:szCs w:val="26"/>
        </w:rPr>
        <w:t>-l</w:t>
      </w:r>
      <w:r w:rsidRPr="00094D03">
        <w:rPr>
          <w:rFonts w:cs="Segoe UI"/>
          <w:b/>
          <w:sz w:val="26"/>
          <w:szCs w:val="26"/>
        </w:rPr>
        <w:t xml:space="preserve">ike </w:t>
      </w:r>
      <w:r w:rsidR="00981307" w:rsidRPr="00094D03">
        <w:rPr>
          <w:rFonts w:cs="Segoe UI"/>
          <w:b/>
          <w:sz w:val="26"/>
          <w:szCs w:val="26"/>
        </w:rPr>
        <w:t>B</w:t>
      </w:r>
      <w:r w:rsidR="002204B8">
        <w:rPr>
          <w:rFonts w:cs="Segoe UI"/>
          <w:b/>
          <w:sz w:val="26"/>
          <w:szCs w:val="26"/>
        </w:rPr>
        <w:t>-</w:t>
      </w:r>
      <w:r w:rsidR="00981307" w:rsidRPr="00094D03">
        <w:rPr>
          <w:rFonts w:cs="Segoe UI"/>
          <w:b/>
          <w:sz w:val="26"/>
          <w:szCs w:val="26"/>
        </w:rPr>
        <w:t>ALL</w:t>
      </w:r>
    </w:p>
    <w:p w:rsidR="00A63B80" w:rsidRPr="00094D03" w:rsidRDefault="00A63B80" w:rsidP="00030744">
      <w:pPr>
        <w:spacing w:line="360" w:lineRule="auto"/>
        <w:rPr>
          <w:rFonts w:cs="Segoe UI"/>
        </w:rPr>
      </w:pPr>
    </w:p>
    <w:p w:rsidR="00981307" w:rsidRDefault="00A63B80" w:rsidP="00981307">
      <w:pPr>
        <w:autoSpaceDE w:val="0"/>
        <w:autoSpaceDN w:val="0"/>
        <w:rPr>
          <w:sz w:val="24"/>
          <w:szCs w:val="24"/>
        </w:rPr>
      </w:pPr>
      <w:r w:rsidRPr="00094D03">
        <w:rPr>
          <w:rFonts w:cs="Segoe UI"/>
          <w:b/>
          <w:i/>
        </w:rPr>
        <w:t>For Immediate Release</w:t>
      </w:r>
      <w:r w:rsidR="00263367" w:rsidRPr="00094D03">
        <w:rPr>
          <w:rFonts w:cs="Segoe UI"/>
          <w:b/>
          <w:i/>
        </w:rPr>
        <w:t xml:space="preserve"> – </w:t>
      </w:r>
      <w:r w:rsidR="00660688" w:rsidRPr="00094D03">
        <w:rPr>
          <w:rFonts w:cs="Segoe UI"/>
          <w:b/>
          <w:i/>
        </w:rPr>
        <w:t>November</w:t>
      </w:r>
      <w:r w:rsidR="009605FF">
        <w:rPr>
          <w:rFonts w:cs="Segoe UI"/>
          <w:b/>
          <w:i/>
        </w:rPr>
        <w:t xml:space="preserve"> 20</w:t>
      </w:r>
      <w:r w:rsidR="00981307" w:rsidRPr="00094D03">
        <w:rPr>
          <w:rFonts w:cs="Segoe UI"/>
          <w:b/>
          <w:i/>
        </w:rPr>
        <w:t>, 2018</w:t>
      </w:r>
      <w:r w:rsidRPr="00094D03">
        <w:rPr>
          <w:rFonts w:cs="Segoe UI"/>
          <w:b/>
          <w:i/>
        </w:rPr>
        <w:t xml:space="preserve"> (Albuquerque, N</w:t>
      </w:r>
      <w:r w:rsidR="00263367" w:rsidRPr="00094D03">
        <w:rPr>
          <w:rFonts w:cs="Segoe UI"/>
          <w:b/>
          <w:i/>
        </w:rPr>
        <w:t xml:space="preserve">ew </w:t>
      </w:r>
      <w:r w:rsidRPr="00094D03">
        <w:rPr>
          <w:rFonts w:cs="Segoe UI"/>
          <w:b/>
          <w:i/>
        </w:rPr>
        <w:t>M</w:t>
      </w:r>
      <w:r w:rsidR="00263367" w:rsidRPr="00094D03">
        <w:rPr>
          <w:rFonts w:cs="Segoe UI"/>
          <w:b/>
          <w:i/>
        </w:rPr>
        <w:t>exico</w:t>
      </w:r>
      <w:r w:rsidRPr="00094D03">
        <w:rPr>
          <w:rFonts w:cs="Segoe UI"/>
          <w:i/>
        </w:rPr>
        <w:t>) –</w:t>
      </w:r>
      <w:r w:rsidRPr="00094D03">
        <w:rPr>
          <w:rFonts w:cs="Segoe UI"/>
          <w:i/>
          <w:sz w:val="20"/>
        </w:rPr>
        <w:t xml:space="preserve"> </w:t>
      </w:r>
      <w:r w:rsidR="00981307" w:rsidRPr="00094D03">
        <w:rPr>
          <w:sz w:val="24"/>
          <w:szCs w:val="24"/>
        </w:rPr>
        <w:t>TriCore Reference Laboratories is the first clinical lab in the nation to offer a</w:t>
      </w:r>
      <w:r w:rsidR="005846CC">
        <w:rPr>
          <w:sz w:val="24"/>
          <w:szCs w:val="24"/>
        </w:rPr>
        <w:t xml:space="preserve"> comprehensive</w:t>
      </w:r>
      <w:r w:rsidR="00981307" w:rsidRPr="00094D03">
        <w:rPr>
          <w:sz w:val="24"/>
          <w:szCs w:val="24"/>
        </w:rPr>
        <w:t xml:space="preserve"> screening assay and diagnostic algorithm for the identification of </w:t>
      </w:r>
      <w:r w:rsidR="00981307" w:rsidRPr="00094D03">
        <w:rPr>
          <w:i/>
          <w:sz w:val="24"/>
          <w:szCs w:val="24"/>
        </w:rPr>
        <w:t>BCR-ABL1</w:t>
      </w:r>
      <w:r w:rsidR="00981307" w:rsidRPr="00094D03">
        <w:rPr>
          <w:sz w:val="24"/>
          <w:szCs w:val="24"/>
        </w:rPr>
        <w:t>-like B-lymphoblastic leukemia/lymphoma (B-ALL) (or “</w:t>
      </w:r>
      <w:proofErr w:type="spellStart"/>
      <w:r w:rsidR="00981307" w:rsidRPr="00094D03">
        <w:rPr>
          <w:sz w:val="24"/>
          <w:szCs w:val="24"/>
        </w:rPr>
        <w:t>Ph</w:t>
      </w:r>
      <w:proofErr w:type="spellEnd"/>
      <w:r w:rsidR="00981307" w:rsidRPr="00094D03">
        <w:rPr>
          <w:sz w:val="24"/>
          <w:szCs w:val="24"/>
        </w:rPr>
        <w:t xml:space="preserve">-like” ALL) performed in the Molecular Diagnostics and Cytogenetic departments. UNM </w:t>
      </w:r>
      <w:r w:rsidR="009605FF">
        <w:rPr>
          <w:sz w:val="24"/>
          <w:szCs w:val="24"/>
        </w:rPr>
        <w:t xml:space="preserve">Comprehensive </w:t>
      </w:r>
      <w:r w:rsidR="00981307" w:rsidRPr="00094D03">
        <w:rPr>
          <w:sz w:val="24"/>
          <w:szCs w:val="24"/>
        </w:rPr>
        <w:t>Cancer Center developed the screening assay</w:t>
      </w:r>
      <w:r w:rsidR="005846CC">
        <w:rPr>
          <w:sz w:val="24"/>
          <w:szCs w:val="24"/>
        </w:rPr>
        <w:t xml:space="preserve"> for use in clinical trials,</w:t>
      </w:r>
      <w:r w:rsidR="00981307" w:rsidRPr="00094D03">
        <w:rPr>
          <w:sz w:val="24"/>
          <w:szCs w:val="24"/>
        </w:rPr>
        <w:t xml:space="preserve"> and </w:t>
      </w:r>
      <w:r w:rsidR="005846CC" w:rsidRPr="00094D03">
        <w:rPr>
          <w:sz w:val="24"/>
          <w:szCs w:val="24"/>
        </w:rPr>
        <w:t>collaborated</w:t>
      </w:r>
      <w:r w:rsidR="00981307" w:rsidRPr="00094D03">
        <w:rPr>
          <w:sz w:val="24"/>
          <w:szCs w:val="24"/>
        </w:rPr>
        <w:t xml:space="preserve"> with TriCore in this clinical launch of the assay.</w:t>
      </w:r>
    </w:p>
    <w:p w:rsidR="005846CC" w:rsidRDefault="005846CC" w:rsidP="00981307">
      <w:pPr>
        <w:autoSpaceDE w:val="0"/>
        <w:autoSpaceDN w:val="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BCR-ABL1-</w:t>
      </w:r>
      <w:r>
        <w:rPr>
          <w:sz w:val="24"/>
          <w:szCs w:val="24"/>
        </w:rPr>
        <w:t xml:space="preserve">like B lymphoblastic leukemia is a heterogeneous group of diseases </w:t>
      </w:r>
      <w:r w:rsidR="000C0C57">
        <w:rPr>
          <w:sz w:val="24"/>
          <w:szCs w:val="24"/>
        </w:rPr>
        <w:t xml:space="preserve">associated </w:t>
      </w:r>
      <w:r>
        <w:rPr>
          <w:sz w:val="24"/>
          <w:szCs w:val="24"/>
        </w:rPr>
        <w:t xml:space="preserve">with poor prognosis. However, </w:t>
      </w:r>
      <w:r w:rsidR="000C0C57">
        <w:rPr>
          <w:sz w:val="24"/>
          <w:szCs w:val="24"/>
        </w:rPr>
        <w:t>many of the underlying genetic changes are potentially sensitive to treatment with targeted therapy. Early identification and appropriate treatment can result in improved patient outcomes. Because there</w:t>
      </w:r>
      <w:r w:rsidR="000C0C57" w:rsidRPr="000C0C57">
        <w:rPr>
          <w:color w:val="000000"/>
          <w:sz w:val="24"/>
          <w:szCs w:val="24"/>
        </w:rPr>
        <w:t xml:space="preserve"> </w:t>
      </w:r>
      <w:r w:rsidR="000C0C57">
        <w:rPr>
          <w:color w:val="000000"/>
          <w:sz w:val="24"/>
          <w:szCs w:val="24"/>
        </w:rPr>
        <w:t>is</w:t>
      </w:r>
      <w:r w:rsidR="000C0C57" w:rsidRPr="00094D03">
        <w:rPr>
          <w:color w:val="000000"/>
          <w:sz w:val="24"/>
          <w:szCs w:val="24"/>
        </w:rPr>
        <w:t xml:space="preserve"> not a single, discreet cytogenetic or molecular abnormality that defines </w:t>
      </w:r>
      <w:r w:rsidR="000C0C57" w:rsidRPr="00094D03">
        <w:rPr>
          <w:i/>
          <w:color w:val="000000"/>
          <w:sz w:val="24"/>
          <w:szCs w:val="24"/>
        </w:rPr>
        <w:t>BCR-ABL1</w:t>
      </w:r>
      <w:r w:rsidR="000C0C57" w:rsidRPr="00094D03">
        <w:rPr>
          <w:color w:val="000000"/>
          <w:sz w:val="24"/>
          <w:szCs w:val="24"/>
        </w:rPr>
        <w:t xml:space="preserve">-like </w:t>
      </w:r>
      <w:r w:rsidR="000C0C57">
        <w:rPr>
          <w:color w:val="000000"/>
          <w:sz w:val="24"/>
          <w:szCs w:val="24"/>
        </w:rPr>
        <w:t xml:space="preserve">B-ALL, extensive and complex laboratory testing has been required to identify patients with this disease. </w:t>
      </w:r>
    </w:p>
    <w:p w:rsidR="000C0C57" w:rsidRPr="000C0C57" w:rsidRDefault="002204B8" w:rsidP="00981307">
      <w:pPr>
        <w:autoSpaceDE w:val="0"/>
        <w:autoSpaceDN w:val="0"/>
        <w:rPr>
          <w:sz w:val="24"/>
          <w:szCs w:val="24"/>
        </w:rPr>
      </w:pPr>
      <w:r>
        <w:rPr>
          <w:color w:val="000000"/>
          <w:sz w:val="24"/>
          <w:szCs w:val="24"/>
        </w:rPr>
        <w:t>According to Devon Chabot-Richards, MD, Medical Director of Molecular Diagnostics for TriCore, “</w:t>
      </w:r>
      <w:r w:rsidR="000C0C57">
        <w:rPr>
          <w:color w:val="000000"/>
          <w:sz w:val="24"/>
          <w:szCs w:val="24"/>
        </w:rPr>
        <w:t xml:space="preserve">TriCore’s assay is the first </w:t>
      </w:r>
      <w:r w:rsidR="00B95376">
        <w:rPr>
          <w:color w:val="000000"/>
          <w:sz w:val="24"/>
          <w:szCs w:val="24"/>
        </w:rPr>
        <w:t xml:space="preserve">commercially available screen </w:t>
      </w:r>
      <w:r w:rsidR="000C0C57">
        <w:rPr>
          <w:color w:val="000000"/>
          <w:sz w:val="24"/>
          <w:szCs w:val="24"/>
        </w:rPr>
        <w:t xml:space="preserve">for this complex entity. The Low Density Array card (LDA) </w:t>
      </w:r>
      <w:r w:rsidR="00B95376">
        <w:rPr>
          <w:color w:val="000000"/>
          <w:sz w:val="24"/>
          <w:szCs w:val="24"/>
        </w:rPr>
        <w:t>coupled with TriCore’s algorithm offer</w:t>
      </w:r>
      <w:r w:rsidR="000C0C57">
        <w:rPr>
          <w:color w:val="000000"/>
          <w:sz w:val="24"/>
          <w:szCs w:val="24"/>
        </w:rPr>
        <w:t xml:space="preserve"> a simple and comprehensive way to identify patients with </w:t>
      </w:r>
      <w:r w:rsidR="000C0C57">
        <w:rPr>
          <w:i/>
          <w:color w:val="000000"/>
          <w:sz w:val="24"/>
          <w:szCs w:val="24"/>
        </w:rPr>
        <w:t>BCR-ABL1</w:t>
      </w:r>
      <w:r w:rsidR="000C0C57">
        <w:rPr>
          <w:color w:val="000000"/>
          <w:sz w:val="24"/>
          <w:szCs w:val="24"/>
        </w:rPr>
        <w:t>-like B-ALL.</w:t>
      </w:r>
      <w:r w:rsidR="000F542C">
        <w:rPr>
          <w:color w:val="000000"/>
          <w:sz w:val="24"/>
          <w:szCs w:val="24"/>
        </w:rPr>
        <w:t xml:space="preserve"> In addition, our world-class team of </w:t>
      </w:r>
      <w:proofErr w:type="spellStart"/>
      <w:r w:rsidR="000F542C">
        <w:rPr>
          <w:color w:val="000000"/>
          <w:sz w:val="24"/>
          <w:szCs w:val="24"/>
        </w:rPr>
        <w:t>hematopathologists</w:t>
      </w:r>
      <w:proofErr w:type="spellEnd"/>
      <w:r w:rsidR="000F542C">
        <w:rPr>
          <w:color w:val="000000"/>
          <w:sz w:val="24"/>
          <w:szCs w:val="24"/>
        </w:rPr>
        <w:t xml:space="preserve"> and molecular pathologists offer detailed interpretation and guidance and ensure appropriate follow-up testing is performed. </w:t>
      </w:r>
      <w:r>
        <w:rPr>
          <w:color w:val="000000"/>
          <w:sz w:val="24"/>
          <w:szCs w:val="24"/>
        </w:rPr>
        <w:t>“</w:t>
      </w:r>
    </w:p>
    <w:p w:rsidR="00094D03" w:rsidRPr="00094D03" w:rsidRDefault="00094D03" w:rsidP="00B47863">
      <w:pPr>
        <w:spacing w:line="360" w:lineRule="auto"/>
        <w:rPr>
          <w:rFonts w:cs="Segoe UI"/>
          <w:sz w:val="24"/>
          <w:szCs w:val="24"/>
          <w:shd w:val="clear" w:color="auto" w:fill="FFFFFF"/>
        </w:rPr>
      </w:pPr>
      <w:r w:rsidRPr="00094D03">
        <w:rPr>
          <w:rFonts w:cs="Segoe UI"/>
          <w:sz w:val="24"/>
          <w:szCs w:val="24"/>
          <w:shd w:val="clear" w:color="auto" w:fill="FFFFFF"/>
        </w:rPr>
        <w:t xml:space="preserve">For more information, please </w:t>
      </w:r>
      <w:r>
        <w:rPr>
          <w:rFonts w:cs="Segoe UI"/>
          <w:sz w:val="24"/>
          <w:szCs w:val="24"/>
          <w:shd w:val="clear" w:color="auto" w:fill="FFFFFF"/>
        </w:rPr>
        <w:t>visit</w:t>
      </w:r>
      <w:r w:rsidRPr="00094D03">
        <w:rPr>
          <w:rFonts w:cs="Segoe UI"/>
          <w:sz w:val="24"/>
          <w:szCs w:val="24"/>
          <w:shd w:val="clear" w:color="auto" w:fill="FFFFFF"/>
        </w:rPr>
        <w:t xml:space="preserve"> our website </w:t>
      </w:r>
      <w:r w:rsidR="002204B8" w:rsidRPr="002204B8">
        <w:rPr>
          <w:rFonts w:cs="Segoe UI"/>
          <w:sz w:val="24"/>
          <w:szCs w:val="24"/>
          <w:shd w:val="clear" w:color="auto" w:fill="FFFFFF"/>
        </w:rPr>
        <w:t>http://www.tricore.org/BCR_ABL1_like_ALL</w:t>
      </w:r>
      <w:r w:rsidRPr="00094D03">
        <w:rPr>
          <w:rFonts w:cs="Segoe UI"/>
          <w:sz w:val="24"/>
          <w:szCs w:val="24"/>
          <w:shd w:val="clear" w:color="auto" w:fill="FFFFFF"/>
        </w:rPr>
        <w:t>.</w:t>
      </w:r>
    </w:p>
    <w:p w:rsidR="00527103" w:rsidRPr="00263367" w:rsidRDefault="00263367" w:rsidP="00527103">
      <w:pPr>
        <w:pStyle w:val="NormalWeb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Segoe UI" w:hAnsi="Segoe UI" w:cs="Segoe UI"/>
        </w:rPr>
      </w:pPr>
      <w:r w:rsidRPr="00263367">
        <w:rPr>
          <w:rFonts w:ascii="Segoe UI" w:hAnsi="Segoe UI" w:cs="Segoe UI"/>
          <w:shd w:val="clear" w:color="auto" w:fill="FFFFFF"/>
        </w:rPr>
        <w:t>-30-</w:t>
      </w:r>
    </w:p>
    <w:p w:rsidR="00C117AD" w:rsidRDefault="00C117AD" w:rsidP="00C117AD">
      <w:pPr>
        <w:spacing w:after="0" w:line="240" w:lineRule="auto"/>
        <w:ind w:right="540"/>
        <w:rPr>
          <w:i/>
          <w:iCs/>
        </w:rPr>
      </w:pPr>
      <w:r w:rsidRPr="00BA31D5">
        <w:rPr>
          <w:i/>
          <w:iCs/>
        </w:rPr>
        <w:t>TriCore Reference Laboratories is an independent, not-for-profit, clinical reference laboratory founded and headquartered in Albuquerque, New Mexico, co-sponsored by Presbyterian Healthcare Services and University of New Mexico Health Sciences Center. TriCore pro</w:t>
      </w:r>
      <w:r w:rsidR="002204B8">
        <w:rPr>
          <w:i/>
          <w:iCs/>
        </w:rPr>
        <w:t>vides over 2,900, full-service,</w:t>
      </w:r>
      <w:r>
        <w:rPr>
          <w:i/>
          <w:iCs/>
        </w:rPr>
        <w:t xml:space="preserve"> </w:t>
      </w:r>
      <w:r w:rsidRPr="00BA31D5">
        <w:rPr>
          <w:i/>
          <w:iCs/>
        </w:rPr>
        <w:t xml:space="preserve">state-of-the-art laboratory tests to healthcare professionals and their patients. TriCore also provides analytics and research services, supporting healthcare and scientific organizations worldwide.  </w:t>
      </w:r>
    </w:p>
    <w:p w:rsidR="00C117AD" w:rsidRPr="00BA31D5" w:rsidRDefault="00C117AD" w:rsidP="00C117AD">
      <w:pPr>
        <w:spacing w:after="0" w:line="240" w:lineRule="auto"/>
        <w:rPr>
          <w:i/>
          <w:iCs/>
        </w:rPr>
      </w:pPr>
      <w:r w:rsidRPr="00BA31D5">
        <w:rPr>
          <w:i/>
          <w:iCs/>
        </w:rPr>
        <w:t xml:space="preserve">For more information, visit </w:t>
      </w:r>
      <w:hyperlink r:id="rId6" w:history="1">
        <w:r w:rsidRPr="00BA31D5">
          <w:rPr>
            <w:rStyle w:val="Hyperlink"/>
          </w:rPr>
          <w:t>tricore.org</w:t>
        </w:r>
      </w:hyperlink>
      <w:r w:rsidRPr="00BA31D5">
        <w:rPr>
          <w:i/>
          <w:iCs/>
        </w:rPr>
        <w:t>.</w:t>
      </w:r>
    </w:p>
    <w:p w:rsidR="00030744" w:rsidRDefault="00030744" w:rsidP="00A63B80">
      <w:pPr>
        <w:rPr>
          <w:rFonts w:ascii="Segoe UI" w:hAnsi="Segoe UI" w:cs="Segoe UI"/>
          <w:i/>
          <w:iCs/>
          <w:sz w:val="20"/>
          <w:szCs w:val="20"/>
        </w:rPr>
      </w:pPr>
    </w:p>
    <w:p w:rsidR="00030744" w:rsidRPr="00263367" w:rsidRDefault="00030744" w:rsidP="00A63B80">
      <w:pPr>
        <w:rPr>
          <w:rFonts w:ascii="Segoe UI" w:hAnsi="Segoe UI" w:cs="Segoe UI"/>
          <w:i/>
          <w:iCs/>
          <w:sz w:val="20"/>
          <w:szCs w:val="20"/>
        </w:rPr>
      </w:pPr>
    </w:p>
    <w:sectPr w:rsidR="00030744" w:rsidRPr="00263367" w:rsidSect="0098130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NjGxtDQyMjA2NzFQ0lEKTi0uzszPAykwrgUAZwZpxiwAAAA="/>
  </w:docVars>
  <w:rsids>
    <w:rsidRoot w:val="00451FE9"/>
    <w:rsid w:val="00015EB1"/>
    <w:rsid w:val="00030744"/>
    <w:rsid w:val="00094D03"/>
    <w:rsid w:val="000C0C57"/>
    <w:rsid w:val="000E7C57"/>
    <w:rsid w:val="000F542C"/>
    <w:rsid w:val="0015200C"/>
    <w:rsid w:val="002204B8"/>
    <w:rsid w:val="00263367"/>
    <w:rsid w:val="003215B9"/>
    <w:rsid w:val="003A75B5"/>
    <w:rsid w:val="003C0702"/>
    <w:rsid w:val="003D3880"/>
    <w:rsid w:val="00451FE9"/>
    <w:rsid w:val="00527103"/>
    <w:rsid w:val="00530B7A"/>
    <w:rsid w:val="005708D1"/>
    <w:rsid w:val="005846CC"/>
    <w:rsid w:val="0062379C"/>
    <w:rsid w:val="0063551E"/>
    <w:rsid w:val="00660688"/>
    <w:rsid w:val="007C24FE"/>
    <w:rsid w:val="007C2DFF"/>
    <w:rsid w:val="007F51E5"/>
    <w:rsid w:val="007F69EE"/>
    <w:rsid w:val="00852677"/>
    <w:rsid w:val="009051F9"/>
    <w:rsid w:val="00935E9D"/>
    <w:rsid w:val="009605FF"/>
    <w:rsid w:val="00981307"/>
    <w:rsid w:val="009F71FB"/>
    <w:rsid w:val="00A63B80"/>
    <w:rsid w:val="00AB4ADA"/>
    <w:rsid w:val="00AC3DCE"/>
    <w:rsid w:val="00B24A90"/>
    <w:rsid w:val="00B47863"/>
    <w:rsid w:val="00B95376"/>
    <w:rsid w:val="00BB56CD"/>
    <w:rsid w:val="00C117AD"/>
    <w:rsid w:val="00C17B50"/>
    <w:rsid w:val="00C57C47"/>
    <w:rsid w:val="00C84F22"/>
    <w:rsid w:val="00D16C09"/>
    <w:rsid w:val="00D17EDB"/>
    <w:rsid w:val="00D34ED1"/>
    <w:rsid w:val="00D70CC1"/>
    <w:rsid w:val="00E17432"/>
    <w:rsid w:val="00EF0C4E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C47"/>
  </w:style>
  <w:style w:type="character" w:styleId="Hyperlink">
    <w:name w:val="Hyperlink"/>
    <w:basedOn w:val="DefaultParagraphFont"/>
    <w:uiPriority w:val="99"/>
    <w:unhideWhenUsed/>
    <w:rsid w:val="00C57C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7C47"/>
    <w:rPr>
      <w:i/>
      <w:iCs/>
    </w:rPr>
  </w:style>
  <w:style w:type="paragraph" w:styleId="NormalWeb">
    <w:name w:val="Normal (Web)"/>
    <w:basedOn w:val="Normal"/>
    <w:uiPriority w:val="99"/>
    <w:unhideWhenUsed/>
    <w:rsid w:val="00C5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rsid w:val="00C5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051F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1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7C47"/>
  </w:style>
  <w:style w:type="character" w:styleId="Hyperlink">
    <w:name w:val="Hyperlink"/>
    <w:basedOn w:val="DefaultParagraphFont"/>
    <w:uiPriority w:val="99"/>
    <w:unhideWhenUsed/>
    <w:rsid w:val="00C57C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7C47"/>
    <w:rPr>
      <w:i/>
      <w:iCs/>
    </w:rPr>
  </w:style>
  <w:style w:type="paragraph" w:styleId="NormalWeb">
    <w:name w:val="Normal (Web)"/>
    <w:basedOn w:val="Normal"/>
    <w:uiPriority w:val="99"/>
    <w:unhideWhenUsed/>
    <w:rsid w:val="00C5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rsid w:val="00C5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051F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51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cor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Green.Carlson@tricore.org</dc:creator>
  <cp:lastModifiedBy>Carlson, Green</cp:lastModifiedBy>
  <cp:revision>4</cp:revision>
  <cp:lastPrinted>2017-05-01T14:59:00Z</cp:lastPrinted>
  <dcterms:created xsi:type="dcterms:W3CDTF">2018-11-15T20:51:00Z</dcterms:created>
  <dcterms:modified xsi:type="dcterms:W3CDTF">2018-11-20T16:02:00Z</dcterms:modified>
</cp:coreProperties>
</file>