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7AE73" w14:textId="77777777" w:rsidR="00A946F5" w:rsidRDefault="00AA0AA1" w:rsidP="00A946F5">
      <w:pPr>
        <w:pStyle w:val="amscPRSubhead"/>
        <w:spacing w:before="0" w:after="0" w:line="240" w:lineRule="auto"/>
        <w:jc w:val="center"/>
        <w:rPr>
          <w:color w:val="00B0F0"/>
          <w:sz w:val="56"/>
        </w:rPr>
      </w:pPr>
      <w:r>
        <w:rPr>
          <w:noProof/>
          <w:color w:val="00B0F0"/>
          <w:sz w:val="56"/>
        </w:rPr>
        <mc:AlternateContent>
          <mc:Choice Requires="wps">
            <w:drawing>
              <wp:anchor distT="0" distB="0" distL="114300" distR="114300" simplePos="0" relativeHeight="251658240" behindDoc="0" locked="0" layoutInCell="0" allowOverlap="1" wp14:anchorId="1748218C" wp14:editId="453BBA3F">
                <wp:simplePos x="0" y="0"/>
                <wp:positionH relativeFrom="column">
                  <wp:posOffset>0</wp:posOffset>
                </wp:positionH>
                <wp:positionV relativeFrom="page">
                  <wp:posOffset>9784080</wp:posOffset>
                </wp:positionV>
                <wp:extent cx="5943600" cy="274320"/>
                <wp:effectExtent l="0" t="0" r="0" b="11430"/>
                <wp:wrapNone/>
                <wp:docPr id="3"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6113A0" w14:textId="77777777" w:rsidR="00350CFE" w:rsidRPr="00350CFE" w:rsidRDefault="00AA0AA1" w:rsidP="00350CFE">
                            <w:pPr>
                              <w:pStyle w:val="Footer"/>
                              <w:rPr>
                                <w:rFonts w:ascii="Arial" w:hAnsi="Arial"/>
                                <w:sz w:val="17"/>
                              </w:rPr>
                            </w:pPr>
                            <w:r>
                              <w:rPr>
                                <w:rFonts w:ascii="Arial" w:hAnsi="Arial"/>
                                <w:sz w:val="17"/>
                              </w:rPr>
                              <w:fldChar w:fldCharType="begin"/>
                            </w:r>
                            <w:r>
                              <w:rPr>
                                <w:rFonts w:ascii="Arial" w:hAnsi="Arial"/>
                                <w:sz w:val="17"/>
                              </w:rPr>
                              <w:instrText xml:space="preserve"> </w:instrText>
                            </w:r>
                            <w:r w:rsidRPr="00350CFE">
                              <w:rPr>
                                <w:rFonts w:ascii="Arial" w:hAnsi="Arial"/>
                                <w:sz w:val="17"/>
                              </w:rPr>
                              <w:instrText>IF "</w:instrText>
                            </w:r>
                            <w:r>
                              <w:rPr>
                                <w:rFonts w:ascii="Arial" w:hAnsi="Arial"/>
                                <w:sz w:val="17"/>
                              </w:rPr>
                              <w:instrText>2</w:instrText>
                            </w:r>
                            <w:r w:rsidRPr="00350CFE">
                              <w:rPr>
                                <w:rFonts w:ascii="Arial" w:hAnsi="Arial"/>
                                <w:sz w:val="17"/>
                              </w:rPr>
                              <w:instrText>" = "2" "</w:instrText>
                            </w:r>
                            <w:r>
                              <w:rPr>
                                <w:rFonts w:ascii="Arial" w:hAnsi="Arial"/>
                                <w:sz w:val="17"/>
                              </w:rPr>
                              <w:instrText>83480464v1</w:instrText>
                            </w:r>
                            <w:r w:rsidRPr="00350CFE">
                              <w:rPr>
                                <w:rFonts w:ascii="Arial" w:hAnsi="Arial"/>
                                <w:sz w:val="17"/>
                              </w:rPr>
                              <w:instrText>" ""</w:instrText>
                            </w:r>
                            <w:r>
                              <w:rPr>
                                <w:rFonts w:ascii="Arial" w:hAnsi="Arial"/>
                                <w:sz w:val="17"/>
                              </w:rPr>
                              <w:instrText xml:space="preserve"> </w:instrText>
                            </w:r>
                            <w:r>
                              <w:rPr>
                                <w:rFonts w:ascii="Arial" w:hAnsi="Arial"/>
                                <w:sz w:val="17"/>
                              </w:rPr>
                              <w:fldChar w:fldCharType="separate"/>
                            </w:r>
                            <w:r>
                              <w:rPr>
                                <w:rFonts w:ascii="Arial" w:hAnsi="Arial"/>
                                <w:noProof/>
                                <w:sz w:val="17"/>
                              </w:rPr>
                              <w:t>83480464v1</w:t>
                            </w:r>
                            <w:r>
                              <w:rPr>
                                <w:rFonts w:ascii="Arial" w:hAnsi="Arial"/>
                                <w:sz w:val="17"/>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SWFootPg99" o:spid="_x0000_s1025" type="#_x0000_t202" style="width:468pt;height:21.6pt;margin-top:770.4pt;margin-left:0;mso-position-vertical-relative:page;mso-wrap-distance-bottom:0;mso-wrap-distance-left:9pt;mso-wrap-distance-right:9pt;mso-wrap-distance-top:0;mso-wrap-style:square;position:absolute;visibility:visible;v-text-anchor:top;z-index:251659264" o:allowincell="f" filled="f" stroked="f" strokeweight="0.5pt">
                <v:textbox inset="0,0,0,0">
                  <w:txbxContent>
                    <w:p w:rsidR="00350CFE" w:rsidRPr="00350CFE" w:rsidP="00350CFE">
                      <w:pPr>
                        <w:pStyle w:val="Footer"/>
                        <w:rPr>
                          <w:rFonts w:ascii="Arial" w:hAnsi="Arial"/>
                          <w:sz w:val="17"/>
                        </w:rPr>
                      </w:pPr>
                      <w:r>
                        <w:rPr>
                          <w:rFonts w:ascii="Arial" w:hAnsi="Arial"/>
                          <w:sz w:val="17"/>
                        </w:rPr>
                        <w:fldChar w:fldCharType="begin"/>
                      </w:r>
                      <w:r>
                        <w:rPr>
                          <w:rFonts w:ascii="Arial" w:hAnsi="Arial"/>
                          <w:sz w:val="17"/>
                        </w:rPr>
                        <w:instrText xml:space="preserve"> </w:instrText>
                      </w:r>
                      <w:r w:rsidRPr="00350CFE">
                        <w:rPr>
                          <w:rFonts w:ascii="Arial" w:hAnsi="Arial"/>
                          <w:sz w:val="17"/>
                        </w:rPr>
                        <w:instrText>IF "</w:instrText>
                      </w:r>
                      <w:r w:rsidR="009157E3">
                        <w:rPr>
                          <w:rFonts w:ascii="Arial" w:hAnsi="Arial"/>
                          <w:sz w:val="17"/>
                        </w:rPr>
                        <w:instrText>2</w:instrText>
                      </w:r>
                      <w:r w:rsidRPr="00350CFE">
                        <w:rPr>
                          <w:rFonts w:ascii="Arial" w:hAnsi="Arial"/>
                          <w:sz w:val="17"/>
                        </w:rPr>
                        <w:instrText>" = "2" "</w:instrText>
                      </w:r>
                      <w:r w:rsidR="009157E3">
                        <w:rPr>
                          <w:rFonts w:ascii="Arial" w:hAnsi="Arial"/>
                          <w:sz w:val="17"/>
                        </w:rPr>
                        <w:instrText>83480464v1</w:instrText>
                      </w:r>
                      <w:r w:rsidRPr="00350CFE">
                        <w:rPr>
                          <w:rFonts w:ascii="Arial" w:hAnsi="Arial"/>
                          <w:sz w:val="17"/>
                        </w:rPr>
                        <w:instrText>" ""</w:instrText>
                      </w:r>
                      <w:r>
                        <w:rPr>
                          <w:rFonts w:ascii="Arial" w:hAnsi="Arial"/>
                          <w:sz w:val="17"/>
                        </w:rPr>
                        <w:instrText xml:space="preserve"> </w:instrText>
                      </w:r>
                      <w:r>
                        <w:rPr>
                          <w:rFonts w:ascii="Arial" w:hAnsi="Arial"/>
                          <w:sz w:val="17"/>
                        </w:rPr>
                        <w:fldChar w:fldCharType="separate"/>
                      </w:r>
                      <w:r w:rsidR="009157E3">
                        <w:rPr>
                          <w:rFonts w:ascii="Arial" w:hAnsi="Arial"/>
                          <w:noProof/>
                          <w:sz w:val="17"/>
                        </w:rPr>
                        <w:t>83480464v1</w:t>
                      </w:r>
                      <w:r>
                        <w:rPr>
                          <w:rFonts w:ascii="Arial" w:hAnsi="Arial"/>
                          <w:sz w:val="17"/>
                        </w:rPr>
                        <w:fldChar w:fldCharType="end"/>
                      </w:r>
                    </w:p>
                  </w:txbxContent>
                </v:textbox>
              </v:shape>
            </w:pict>
          </mc:Fallback>
        </mc:AlternateContent>
      </w:r>
    </w:p>
    <w:p w14:paraId="083C6ACA" w14:textId="77777777" w:rsidR="000C5AA2" w:rsidRPr="000C5AA2" w:rsidRDefault="008E794E" w:rsidP="000C5AA2">
      <w:pPr>
        <w:pStyle w:val="amscPRSubhead"/>
        <w:spacing w:before="0" w:after="240" w:line="240" w:lineRule="auto"/>
        <w:jc w:val="center"/>
        <w:rPr>
          <w:rFonts w:asciiTheme="minorHAnsi" w:hAnsiTheme="minorHAnsi"/>
          <w:bCs/>
          <w:color w:val="00B0F0"/>
          <w:sz w:val="20"/>
          <w:szCs w:val="48"/>
        </w:rPr>
      </w:pPr>
    </w:p>
    <w:p w14:paraId="10D98859" w14:textId="77777777" w:rsidR="00A946F5" w:rsidRPr="000C5AA2" w:rsidRDefault="00AA0AA1" w:rsidP="000C5AA2">
      <w:pPr>
        <w:pStyle w:val="amscPRSubhead"/>
        <w:spacing w:before="0" w:after="240" w:line="240" w:lineRule="auto"/>
        <w:jc w:val="center"/>
        <w:rPr>
          <w:rFonts w:asciiTheme="minorHAnsi" w:hAnsiTheme="minorHAnsi"/>
          <w:bCs/>
          <w:color w:val="00B0F0"/>
          <w:sz w:val="48"/>
          <w:szCs w:val="48"/>
        </w:rPr>
      </w:pPr>
      <w:r w:rsidRPr="0030390C">
        <w:rPr>
          <w:rFonts w:asciiTheme="minorHAnsi" w:hAnsiTheme="minorHAnsi"/>
          <w:bCs/>
          <w:color w:val="00B0F0"/>
          <w:sz w:val="48"/>
          <w:szCs w:val="48"/>
        </w:rPr>
        <w:t>A</w:t>
      </w:r>
      <w:r w:rsidRPr="002227F5">
        <w:rPr>
          <w:rFonts w:asciiTheme="minorHAnsi" w:hAnsiTheme="minorHAnsi"/>
          <w:bCs/>
          <w:color w:val="00B0F0"/>
          <w:sz w:val="48"/>
          <w:szCs w:val="48"/>
        </w:rPr>
        <w:t xml:space="preserve">MSC </w:t>
      </w:r>
      <w:r>
        <w:rPr>
          <w:rFonts w:asciiTheme="minorHAnsi" w:hAnsiTheme="minorHAnsi"/>
          <w:bCs/>
          <w:color w:val="00B0F0"/>
          <w:sz w:val="48"/>
          <w:szCs w:val="48"/>
        </w:rPr>
        <w:t xml:space="preserve">Announces Preliminary Financial Results  </w:t>
      </w:r>
    </w:p>
    <w:p w14:paraId="04508452" w14:textId="77777777" w:rsidR="00594F64" w:rsidRDefault="00AA0AA1" w:rsidP="00371585">
      <w:pPr>
        <w:pStyle w:val="NormalWeb"/>
        <w:spacing w:before="2" w:after="2"/>
        <w:rPr>
          <w:rFonts w:asciiTheme="minorHAnsi" w:eastAsia="Calibri" w:hAnsiTheme="minorHAnsi"/>
          <w:color w:val="FF0000"/>
          <w:sz w:val="22"/>
          <w:szCs w:val="20"/>
        </w:rPr>
      </w:pPr>
      <w:proofErr w:type="spellStart"/>
      <w:r w:rsidRPr="008B0C33">
        <w:rPr>
          <w:rFonts w:asciiTheme="minorHAnsi" w:hAnsiTheme="minorHAnsi" w:cs="Calibri"/>
          <w:b/>
          <w:sz w:val="22"/>
          <w:szCs w:val="22"/>
        </w:rPr>
        <w:t>Devens</w:t>
      </w:r>
      <w:proofErr w:type="spellEnd"/>
      <w:r w:rsidRPr="008B0C33">
        <w:rPr>
          <w:rFonts w:asciiTheme="minorHAnsi" w:hAnsiTheme="minorHAnsi" w:cs="Calibri"/>
          <w:b/>
          <w:sz w:val="22"/>
          <w:szCs w:val="22"/>
        </w:rPr>
        <w:t xml:space="preserve">, MA – </w:t>
      </w:r>
      <w:r>
        <w:rPr>
          <w:rFonts w:asciiTheme="minorHAnsi" w:hAnsiTheme="minorHAnsi" w:cs="Calibri"/>
          <w:b/>
          <w:color w:val="000000"/>
          <w:sz w:val="22"/>
          <w:szCs w:val="22"/>
        </w:rPr>
        <w:t>April</w:t>
      </w:r>
      <w:r w:rsidRPr="008B0C33">
        <w:rPr>
          <w:rFonts w:asciiTheme="minorHAnsi" w:hAnsiTheme="minorHAnsi" w:cs="Calibri"/>
          <w:b/>
          <w:color w:val="000000"/>
          <w:sz w:val="22"/>
          <w:szCs w:val="22"/>
        </w:rPr>
        <w:t xml:space="preserve"> </w:t>
      </w:r>
      <w:r>
        <w:rPr>
          <w:rFonts w:asciiTheme="minorHAnsi" w:hAnsiTheme="minorHAnsi" w:cs="Calibri"/>
          <w:b/>
          <w:color w:val="000000"/>
          <w:sz w:val="22"/>
          <w:szCs w:val="22"/>
        </w:rPr>
        <w:t>26</w:t>
      </w:r>
      <w:r w:rsidRPr="008B0C33">
        <w:rPr>
          <w:rFonts w:asciiTheme="minorHAnsi" w:hAnsiTheme="minorHAnsi" w:cs="Calibri"/>
          <w:b/>
          <w:color w:val="000000"/>
          <w:sz w:val="22"/>
          <w:szCs w:val="22"/>
        </w:rPr>
        <w:t xml:space="preserve">, 2017 </w:t>
      </w:r>
      <w:r w:rsidRPr="008B0C33">
        <w:rPr>
          <w:rFonts w:asciiTheme="minorHAnsi" w:hAnsiTheme="minorHAnsi" w:cs="Calibri"/>
          <w:color w:val="000000"/>
          <w:sz w:val="22"/>
          <w:szCs w:val="22"/>
        </w:rPr>
        <w:t xml:space="preserve">– </w:t>
      </w:r>
      <w:r w:rsidRPr="003544D4">
        <w:rPr>
          <w:rFonts w:asciiTheme="minorHAnsi" w:eastAsia="Times New Roman" w:hAnsiTheme="minorHAnsi"/>
          <w:sz w:val="22"/>
          <w:szCs w:val="22"/>
        </w:rPr>
        <w:t xml:space="preserve">AMSC (NASDAQ : AMSC), a global solutions provider serving wind and power </w:t>
      </w:r>
      <w:r w:rsidRPr="00F750A3">
        <w:rPr>
          <w:rFonts w:asciiTheme="minorHAnsi" w:eastAsia="Times New Roman" w:hAnsiTheme="minorHAnsi"/>
          <w:sz w:val="22"/>
          <w:szCs w:val="22"/>
        </w:rPr>
        <w:t xml:space="preserve">grid industry leaders, </w:t>
      </w:r>
      <w:r w:rsidRPr="00F750A3">
        <w:rPr>
          <w:rFonts w:asciiTheme="minorHAnsi" w:eastAsia="Calibri" w:hAnsiTheme="minorHAnsi"/>
          <w:sz w:val="22"/>
          <w:szCs w:val="20"/>
        </w:rPr>
        <w:t xml:space="preserve">today provided preliminary financial results for the fourth fiscal quarter </w:t>
      </w:r>
      <w:r>
        <w:rPr>
          <w:rFonts w:asciiTheme="minorHAnsi" w:eastAsia="Calibri" w:hAnsiTheme="minorHAnsi"/>
          <w:sz w:val="22"/>
          <w:szCs w:val="20"/>
        </w:rPr>
        <w:t xml:space="preserve">and full fiscal year </w:t>
      </w:r>
      <w:r w:rsidRPr="00F750A3">
        <w:rPr>
          <w:rFonts w:asciiTheme="minorHAnsi" w:eastAsia="Calibri" w:hAnsiTheme="minorHAnsi"/>
          <w:sz w:val="22"/>
          <w:szCs w:val="20"/>
        </w:rPr>
        <w:t>ended March 31, 2017.</w:t>
      </w:r>
      <w:r w:rsidRPr="00F750A3">
        <w:rPr>
          <w:rFonts w:asciiTheme="minorHAnsi" w:eastAsia="Calibri" w:hAnsiTheme="minorHAnsi"/>
          <w:color w:val="FF0000"/>
          <w:sz w:val="22"/>
          <w:szCs w:val="20"/>
        </w:rPr>
        <w:t xml:space="preserve"> </w:t>
      </w:r>
    </w:p>
    <w:p w14:paraId="1FF0E3EE" w14:textId="77777777" w:rsidR="00371585" w:rsidRDefault="00AA0AA1" w:rsidP="00371585">
      <w:pPr>
        <w:pStyle w:val="NormalWeb"/>
        <w:spacing w:before="2" w:after="2"/>
        <w:rPr>
          <w:rFonts w:asciiTheme="minorHAnsi" w:eastAsia="Calibri" w:hAnsiTheme="minorHAnsi"/>
          <w:sz w:val="22"/>
          <w:szCs w:val="20"/>
        </w:rPr>
      </w:pPr>
      <w:r w:rsidRPr="003544D4">
        <w:rPr>
          <w:rFonts w:asciiTheme="minorHAnsi" w:eastAsia="Times New Roman" w:hAnsiTheme="minorHAnsi"/>
          <w:sz w:val="22"/>
          <w:szCs w:val="22"/>
        </w:rPr>
        <w:t xml:space="preserve">For the </w:t>
      </w:r>
      <w:r>
        <w:rPr>
          <w:rFonts w:asciiTheme="minorHAnsi" w:eastAsia="Times New Roman" w:hAnsiTheme="minorHAnsi"/>
          <w:sz w:val="22"/>
          <w:szCs w:val="22"/>
        </w:rPr>
        <w:t>fourth</w:t>
      </w:r>
      <w:r w:rsidRPr="003544D4">
        <w:rPr>
          <w:rFonts w:asciiTheme="minorHAnsi" w:eastAsia="Times New Roman" w:hAnsiTheme="minorHAnsi"/>
          <w:sz w:val="22"/>
          <w:szCs w:val="22"/>
        </w:rPr>
        <w:t xml:space="preserve"> quarter of fiscal year 2016, AMSC expects its revenues </w:t>
      </w:r>
      <w:r>
        <w:rPr>
          <w:rFonts w:asciiTheme="minorHAnsi" w:eastAsia="Times New Roman" w:hAnsiTheme="minorHAnsi"/>
          <w:sz w:val="22"/>
          <w:szCs w:val="22"/>
        </w:rPr>
        <w:t>will</w:t>
      </w:r>
      <w:r w:rsidRPr="003544D4">
        <w:rPr>
          <w:rFonts w:asciiTheme="minorHAnsi" w:eastAsia="Times New Roman" w:hAnsiTheme="minorHAnsi"/>
          <w:sz w:val="22"/>
          <w:szCs w:val="22"/>
        </w:rPr>
        <w:t xml:space="preserve"> be in the range of $</w:t>
      </w:r>
      <w:r>
        <w:rPr>
          <w:rFonts w:asciiTheme="minorHAnsi" w:eastAsia="Times New Roman" w:hAnsiTheme="minorHAnsi"/>
          <w:sz w:val="22"/>
          <w:szCs w:val="22"/>
        </w:rPr>
        <w:t>15 million</w:t>
      </w:r>
      <w:r w:rsidRPr="003544D4">
        <w:rPr>
          <w:rFonts w:asciiTheme="minorHAnsi" w:eastAsia="Times New Roman" w:hAnsiTheme="minorHAnsi"/>
          <w:sz w:val="22"/>
          <w:szCs w:val="22"/>
        </w:rPr>
        <w:t xml:space="preserve"> - </w:t>
      </w:r>
      <w:r w:rsidRPr="00A946F5">
        <w:rPr>
          <w:rFonts w:asciiTheme="minorHAnsi" w:eastAsia="Times New Roman" w:hAnsiTheme="minorHAnsi"/>
          <w:sz w:val="22"/>
          <w:szCs w:val="22"/>
        </w:rPr>
        <w:t xml:space="preserve">$16 million, compared to </w:t>
      </w:r>
      <w:r>
        <w:rPr>
          <w:rFonts w:asciiTheme="minorHAnsi" w:eastAsia="Times New Roman" w:hAnsiTheme="minorHAnsi"/>
          <w:sz w:val="22"/>
          <w:szCs w:val="22"/>
        </w:rPr>
        <w:t>its</w:t>
      </w:r>
      <w:r w:rsidRPr="00A946F5">
        <w:rPr>
          <w:rFonts w:asciiTheme="minorHAnsi" w:eastAsia="Times New Roman" w:hAnsiTheme="minorHAnsi"/>
          <w:sz w:val="22"/>
          <w:szCs w:val="22"/>
        </w:rPr>
        <w:t xml:space="preserve"> previous fourth quarter revenue </w:t>
      </w:r>
      <w:r w:rsidRPr="00F92115">
        <w:rPr>
          <w:rFonts w:asciiTheme="minorHAnsi" w:eastAsia="Times New Roman" w:hAnsiTheme="minorHAnsi"/>
          <w:sz w:val="22"/>
          <w:szCs w:val="22"/>
        </w:rPr>
        <w:t>guidance of $22 million - $26 million.</w:t>
      </w:r>
      <w:r w:rsidRPr="00F92115">
        <w:rPr>
          <w:rFonts w:asciiTheme="minorHAnsi" w:eastAsia="Calibri" w:hAnsiTheme="minorHAnsi"/>
          <w:sz w:val="22"/>
          <w:szCs w:val="20"/>
        </w:rPr>
        <w:t xml:space="preserve">   For the full fiscal year 201</w:t>
      </w:r>
      <w:r>
        <w:rPr>
          <w:rFonts w:asciiTheme="minorHAnsi" w:eastAsia="Calibri" w:hAnsiTheme="minorHAnsi"/>
          <w:sz w:val="22"/>
          <w:szCs w:val="20"/>
        </w:rPr>
        <w:t>6</w:t>
      </w:r>
      <w:r w:rsidRPr="00F92115">
        <w:rPr>
          <w:rFonts w:asciiTheme="minorHAnsi" w:eastAsia="Calibri" w:hAnsiTheme="minorHAnsi"/>
          <w:sz w:val="22"/>
          <w:szCs w:val="20"/>
        </w:rPr>
        <w:t>, AMSC expects its revenues to be in the range of $7</w:t>
      </w:r>
      <w:r>
        <w:rPr>
          <w:rFonts w:asciiTheme="minorHAnsi" w:eastAsia="Calibri" w:hAnsiTheme="minorHAnsi"/>
          <w:sz w:val="22"/>
          <w:szCs w:val="20"/>
        </w:rPr>
        <w:t>4 million -</w:t>
      </w:r>
      <w:r w:rsidRPr="00F92115">
        <w:rPr>
          <w:rFonts w:asciiTheme="minorHAnsi" w:eastAsia="Calibri" w:hAnsiTheme="minorHAnsi"/>
          <w:sz w:val="22"/>
          <w:szCs w:val="20"/>
        </w:rPr>
        <w:t xml:space="preserve"> $7</w:t>
      </w:r>
      <w:r>
        <w:rPr>
          <w:rFonts w:asciiTheme="minorHAnsi" w:eastAsia="Calibri" w:hAnsiTheme="minorHAnsi"/>
          <w:sz w:val="22"/>
          <w:szCs w:val="20"/>
        </w:rPr>
        <w:t>5</w:t>
      </w:r>
      <w:r w:rsidRPr="00F92115">
        <w:rPr>
          <w:rFonts w:asciiTheme="minorHAnsi" w:eastAsia="Calibri" w:hAnsiTheme="minorHAnsi"/>
          <w:sz w:val="22"/>
          <w:szCs w:val="20"/>
        </w:rPr>
        <w:t xml:space="preserve"> million</w:t>
      </w:r>
      <w:r w:rsidRPr="00594F64">
        <w:rPr>
          <w:rFonts w:asciiTheme="minorHAnsi" w:eastAsia="Calibri" w:hAnsiTheme="minorHAnsi"/>
          <w:sz w:val="22"/>
          <w:szCs w:val="20"/>
        </w:rPr>
        <w:t xml:space="preserve">. </w:t>
      </w:r>
      <w:r>
        <w:rPr>
          <w:rFonts w:asciiTheme="minorHAnsi" w:eastAsia="Calibri" w:hAnsiTheme="minorHAnsi"/>
          <w:sz w:val="22"/>
          <w:szCs w:val="20"/>
        </w:rPr>
        <w:t xml:space="preserve">The lower than expected revenue in the fourth quarter was driven primarily by fewer than anticipated electrical control system (“ECS”) shipments to </w:t>
      </w:r>
      <w:proofErr w:type="spellStart"/>
      <w:r>
        <w:rPr>
          <w:rFonts w:asciiTheme="minorHAnsi" w:eastAsia="Calibri" w:hAnsiTheme="minorHAnsi"/>
          <w:sz w:val="22"/>
          <w:szCs w:val="20"/>
        </w:rPr>
        <w:t>Inox</w:t>
      </w:r>
      <w:proofErr w:type="spellEnd"/>
      <w:r>
        <w:rPr>
          <w:rFonts w:asciiTheme="minorHAnsi" w:eastAsia="Calibri" w:hAnsiTheme="minorHAnsi"/>
          <w:sz w:val="22"/>
          <w:szCs w:val="20"/>
        </w:rPr>
        <w:t xml:space="preserve"> Wind Ltd. (“</w:t>
      </w:r>
      <w:proofErr w:type="spellStart"/>
      <w:r>
        <w:rPr>
          <w:rFonts w:asciiTheme="minorHAnsi" w:eastAsia="Calibri" w:hAnsiTheme="minorHAnsi"/>
          <w:sz w:val="22"/>
          <w:szCs w:val="20"/>
        </w:rPr>
        <w:t>Inox</w:t>
      </w:r>
      <w:proofErr w:type="spellEnd"/>
      <w:r>
        <w:rPr>
          <w:rFonts w:asciiTheme="minorHAnsi" w:eastAsia="Calibri" w:hAnsiTheme="minorHAnsi"/>
          <w:sz w:val="22"/>
          <w:szCs w:val="20"/>
        </w:rPr>
        <w:t xml:space="preserve">”), due to what is believed by </w:t>
      </w:r>
      <w:proofErr w:type="spellStart"/>
      <w:r>
        <w:rPr>
          <w:rFonts w:asciiTheme="minorHAnsi" w:eastAsia="Calibri" w:hAnsiTheme="minorHAnsi"/>
          <w:sz w:val="22"/>
          <w:szCs w:val="20"/>
        </w:rPr>
        <w:t>Inox</w:t>
      </w:r>
      <w:proofErr w:type="spellEnd"/>
      <w:r>
        <w:rPr>
          <w:rFonts w:asciiTheme="minorHAnsi" w:eastAsia="Calibri" w:hAnsiTheme="minorHAnsi"/>
          <w:sz w:val="22"/>
          <w:szCs w:val="20"/>
        </w:rPr>
        <w:t xml:space="preserve"> to be a temporary demand dislocation caused by the reaction in certain states in India to a recent national wind energy auction that resulted in a record-low power purchase tariff. As a result of the revenue shortfall, AMSC’s net loss </w:t>
      </w:r>
      <w:r w:rsidR="00A744F7">
        <w:rPr>
          <w:rFonts w:asciiTheme="minorHAnsi" w:eastAsia="Calibri" w:hAnsiTheme="minorHAnsi"/>
          <w:sz w:val="22"/>
          <w:szCs w:val="20"/>
        </w:rPr>
        <w:t xml:space="preserve">and non-GAAP </w:t>
      </w:r>
      <w:r w:rsidR="00A744F7" w:rsidRPr="00A946F5">
        <w:rPr>
          <w:rFonts w:asciiTheme="minorHAnsi" w:eastAsia="Calibri" w:hAnsiTheme="minorHAnsi"/>
          <w:sz w:val="22"/>
          <w:szCs w:val="20"/>
        </w:rPr>
        <w:t xml:space="preserve">net loss </w:t>
      </w:r>
      <w:r w:rsidRPr="00A946F5">
        <w:rPr>
          <w:rFonts w:asciiTheme="minorHAnsi" w:eastAsia="Calibri" w:hAnsiTheme="minorHAnsi"/>
          <w:sz w:val="22"/>
          <w:szCs w:val="20"/>
        </w:rPr>
        <w:t xml:space="preserve">for the fourth quarter of fiscal 2016 </w:t>
      </w:r>
      <w:r w:rsidR="00A744F7">
        <w:rPr>
          <w:rFonts w:asciiTheme="minorHAnsi" w:eastAsia="Calibri" w:hAnsiTheme="minorHAnsi"/>
          <w:sz w:val="22"/>
          <w:szCs w:val="20"/>
        </w:rPr>
        <w:t xml:space="preserve">are both </w:t>
      </w:r>
      <w:r>
        <w:rPr>
          <w:rFonts w:asciiTheme="minorHAnsi" w:eastAsia="Calibri" w:hAnsiTheme="minorHAnsi"/>
          <w:sz w:val="22"/>
          <w:szCs w:val="20"/>
        </w:rPr>
        <w:t>expected to be higher than its previous guidance</w:t>
      </w:r>
      <w:r w:rsidR="00A744F7">
        <w:rPr>
          <w:rFonts w:asciiTheme="minorHAnsi" w:eastAsia="Calibri" w:hAnsiTheme="minorHAnsi"/>
          <w:sz w:val="22"/>
          <w:szCs w:val="20"/>
        </w:rPr>
        <w:t xml:space="preserve">. </w:t>
      </w:r>
      <w:r w:rsidRPr="00371585">
        <w:rPr>
          <w:rFonts w:asciiTheme="minorHAnsi" w:eastAsia="Calibri" w:hAnsiTheme="minorHAnsi"/>
          <w:sz w:val="22"/>
          <w:szCs w:val="20"/>
        </w:rPr>
        <w:t xml:space="preserve"> </w:t>
      </w:r>
    </w:p>
    <w:p w14:paraId="7764E664" w14:textId="77777777" w:rsidR="000C6A94" w:rsidRPr="002A0422" w:rsidRDefault="00AA0AA1" w:rsidP="002A0422">
      <w:pPr>
        <w:pStyle w:val="NormalWeb"/>
        <w:spacing w:before="2" w:after="2"/>
        <w:rPr>
          <w:rFonts w:asciiTheme="minorHAnsi" w:eastAsia="Calibri" w:hAnsiTheme="minorHAnsi"/>
          <w:sz w:val="22"/>
          <w:szCs w:val="20"/>
        </w:rPr>
      </w:pPr>
      <w:r w:rsidRPr="00371585">
        <w:rPr>
          <w:rFonts w:asciiTheme="minorHAnsi" w:eastAsia="Calibri" w:hAnsiTheme="minorHAnsi"/>
          <w:sz w:val="22"/>
          <w:szCs w:val="20"/>
        </w:rPr>
        <w:t xml:space="preserve">The Company expects its cash, cash equivalents, and restricted cash </w:t>
      </w:r>
      <w:r>
        <w:rPr>
          <w:rFonts w:asciiTheme="minorHAnsi" w:eastAsia="Calibri" w:hAnsiTheme="minorHAnsi"/>
          <w:sz w:val="22"/>
          <w:szCs w:val="20"/>
        </w:rPr>
        <w:t xml:space="preserve">(“cash”) </w:t>
      </w:r>
      <w:r w:rsidRPr="00371585">
        <w:rPr>
          <w:rFonts w:asciiTheme="minorHAnsi" w:eastAsia="Calibri" w:hAnsiTheme="minorHAnsi"/>
          <w:sz w:val="22"/>
          <w:szCs w:val="20"/>
        </w:rPr>
        <w:t>at March 31, 2017 to be approximately $27.7 million</w:t>
      </w:r>
      <w:r w:rsidR="00A744F7">
        <w:rPr>
          <w:rFonts w:asciiTheme="minorHAnsi" w:eastAsia="Calibri" w:hAnsiTheme="minorHAnsi"/>
          <w:sz w:val="22"/>
          <w:szCs w:val="20"/>
        </w:rPr>
        <w:t xml:space="preserve"> </w:t>
      </w:r>
      <w:r>
        <w:rPr>
          <w:rFonts w:asciiTheme="minorHAnsi" w:eastAsia="Calibri" w:hAnsiTheme="minorHAnsi"/>
          <w:sz w:val="22"/>
          <w:szCs w:val="20"/>
        </w:rPr>
        <w:t xml:space="preserve">which includes $2.5 million of net proceeds from the sale of 379,693 shares </w:t>
      </w:r>
      <w:r w:rsidR="00A744F7">
        <w:rPr>
          <w:rFonts w:asciiTheme="minorHAnsi" w:eastAsia="Calibri" w:hAnsiTheme="minorHAnsi"/>
          <w:sz w:val="22"/>
          <w:szCs w:val="20"/>
        </w:rPr>
        <w:t xml:space="preserve">in the fourth quarter </w:t>
      </w:r>
      <w:r>
        <w:rPr>
          <w:rFonts w:asciiTheme="minorHAnsi" w:eastAsia="Calibri" w:hAnsiTheme="minorHAnsi"/>
          <w:sz w:val="22"/>
          <w:szCs w:val="20"/>
        </w:rPr>
        <w:t>under the Company’s At-the-</w:t>
      </w:r>
      <w:r w:rsidR="00A744F7">
        <w:rPr>
          <w:rFonts w:asciiTheme="minorHAnsi" w:eastAsia="Calibri" w:hAnsiTheme="minorHAnsi"/>
          <w:sz w:val="22"/>
          <w:szCs w:val="20"/>
        </w:rPr>
        <w:t>M</w:t>
      </w:r>
      <w:r>
        <w:rPr>
          <w:rFonts w:asciiTheme="minorHAnsi" w:eastAsia="Calibri" w:hAnsiTheme="minorHAnsi"/>
          <w:sz w:val="22"/>
          <w:szCs w:val="20"/>
        </w:rPr>
        <w:t>arket Issuance Sales Facility (“ATM”). This represents an increase of $1.7 million compared to the cash balance at December 31, 2016, which is in line with the Company’s previous guidance for cash burn of less than $2 million in the fourth quarter</w:t>
      </w:r>
      <w:r w:rsidRPr="00C87891">
        <w:rPr>
          <w:rFonts w:asciiTheme="minorHAnsi" w:eastAsia="Calibri" w:hAnsiTheme="minorHAnsi"/>
          <w:sz w:val="22"/>
          <w:szCs w:val="20"/>
        </w:rPr>
        <w:t>.</w:t>
      </w:r>
    </w:p>
    <w:p w14:paraId="74E78EB9" w14:textId="77777777" w:rsidR="000C6A94" w:rsidRDefault="00AA0AA1" w:rsidP="000C6A94">
      <w:pPr>
        <w:spacing w:line="288" w:lineRule="auto"/>
        <w:rPr>
          <w:rFonts w:ascii="Calibri" w:eastAsia="Calibri" w:hAnsi="Calibri" w:cs="Calibri"/>
          <w:b/>
          <w:sz w:val="22"/>
        </w:rPr>
      </w:pPr>
      <w:r>
        <w:rPr>
          <w:rFonts w:ascii="Calibri" w:eastAsia="Calibri" w:hAnsi="Calibri" w:cs="Calibri"/>
          <w:b/>
          <w:sz w:val="22"/>
        </w:rPr>
        <w:t>Preliminary Business Outlook</w:t>
      </w:r>
      <w:bookmarkStart w:id="0" w:name="Outlook_and_Financial_Tables"/>
      <w:bookmarkEnd w:id="0"/>
    </w:p>
    <w:p w14:paraId="725B4DE8" w14:textId="77777777" w:rsidR="00DE5E13" w:rsidRDefault="00AA0AA1" w:rsidP="00DE5E13">
      <w:pPr>
        <w:jc w:val="both"/>
        <w:rPr>
          <w:rFonts w:asciiTheme="minorHAnsi" w:eastAsia="Calibri" w:hAnsiTheme="minorHAnsi"/>
          <w:sz w:val="22"/>
          <w:szCs w:val="20"/>
        </w:rPr>
      </w:pPr>
      <w:r>
        <w:rPr>
          <w:rFonts w:ascii="Calibri" w:eastAsia="Calibri" w:hAnsi="Calibri" w:cs="Calibri"/>
          <w:sz w:val="22"/>
        </w:rPr>
        <w:t xml:space="preserve">For the first quarter ending June 30, 2017, AMSC currently expects that its revenues will be in the range of $8 million to $9 million, taking into account anticipated seasonally lower ECS shipments to </w:t>
      </w:r>
      <w:proofErr w:type="spellStart"/>
      <w:r>
        <w:rPr>
          <w:rFonts w:ascii="Calibri" w:eastAsia="Calibri" w:hAnsi="Calibri" w:cs="Calibri"/>
          <w:sz w:val="22"/>
        </w:rPr>
        <w:t>Inox</w:t>
      </w:r>
      <w:proofErr w:type="spellEnd"/>
      <w:r>
        <w:rPr>
          <w:rFonts w:ascii="Calibri" w:eastAsia="Calibri" w:hAnsi="Calibri" w:cs="Calibri"/>
          <w:sz w:val="22"/>
        </w:rPr>
        <w:t xml:space="preserve"> as well as the temporary demand dislocation previously discussed. </w:t>
      </w:r>
      <w:r w:rsidR="00A744F7" w:rsidRPr="00A744F7">
        <w:rPr>
          <w:rFonts w:asciiTheme="minorHAnsi" w:eastAsia="Calibri" w:hAnsiTheme="minorHAnsi"/>
          <w:sz w:val="22"/>
          <w:szCs w:val="20"/>
        </w:rPr>
        <w:t>The Company expects cash burn in the range of $7 million to $8 million in the first quarter.</w:t>
      </w:r>
    </w:p>
    <w:p w14:paraId="33C8C37B" w14:textId="77777777" w:rsidR="00DE5E13" w:rsidRDefault="008E794E" w:rsidP="00DE5E13">
      <w:pPr>
        <w:jc w:val="both"/>
        <w:rPr>
          <w:rFonts w:asciiTheme="minorHAnsi" w:eastAsia="Calibri" w:hAnsiTheme="minorHAnsi"/>
          <w:sz w:val="22"/>
          <w:szCs w:val="20"/>
        </w:rPr>
      </w:pPr>
    </w:p>
    <w:p w14:paraId="38000573" w14:textId="77777777" w:rsidR="00DE5B0C" w:rsidRDefault="00AA0AA1" w:rsidP="00DE5E13">
      <w:pPr>
        <w:jc w:val="both"/>
        <w:rPr>
          <w:rFonts w:ascii="Calibri" w:eastAsia="Calibri" w:hAnsi="Calibri"/>
          <w:sz w:val="22"/>
          <w:szCs w:val="20"/>
        </w:rPr>
      </w:pPr>
      <w:r w:rsidRPr="00DE5E13">
        <w:rPr>
          <w:rFonts w:ascii="Calibri" w:eastAsia="Calibri" w:hAnsi="Calibri"/>
          <w:sz w:val="22"/>
          <w:szCs w:val="20"/>
        </w:rPr>
        <w:t>The preliminary, unaudited information provided above is based on the Company</w:t>
      </w:r>
      <w:r>
        <w:rPr>
          <w:rFonts w:ascii="Calibri" w:eastAsia="Calibri" w:hAnsi="Calibri"/>
          <w:sz w:val="22"/>
          <w:szCs w:val="20"/>
        </w:rPr>
        <w:t>’</w:t>
      </w:r>
      <w:r w:rsidRPr="00DE5E13">
        <w:rPr>
          <w:rFonts w:ascii="Calibri" w:eastAsia="Calibri" w:hAnsi="Calibri"/>
          <w:sz w:val="22"/>
          <w:szCs w:val="20"/>
        </w:rPr>
        <w:t xml:space="preserve">s current estimate of results from operations for the fourth quarter </w:t>
      </w:r>
      <w:r>
        <w:rPr>
          <w:rFonts w:ascii="Calibri" w:eastAsia="Calibri" w:hAnsi="Calibri"/>
          <w:sz w:val="22"/>
          <w:szCs w:val="20"/>
        </w:rPr>
        <w:t xml:space="preserve">and full fiscal year 2016, and its cash at March 31, 2017, </w:t>
      </w:r>
      <w:r w:rsidRPr="00115528">
        <w:rPr>
          <w:rFonts w:ascii="Calibri" w:eastAsia="Calibri" w:hAnsi="Calibri"/>
          <w:sz w:val="22"/>
          <w:szCs w:val="20"/>
        </w:rPr>
        <w:t xml:space="preserve">and remains subject to change based on the Company’s closing procedures, including </w:t>
      </w:r>
      <w:r>
        <w:rPr>
          <w:rFonts w:ascii="Calibri" w:eastAsia="Calibri" w:hAnsi="Calibri"/>
          <w:sz w:val="22"/>
          <w:szCs w:val="20"/>
        </w:rPr>
        <w:t>the Company’s</w:t>
      </w:r>
      <w:r w:rsidRPr="00115528">
        <w:rPr>
          <w:rFonts w:ascii="Calibri" w:eastAsia="Calibri" w:hAnsi="Calibri"/>
          <w:sz w:val="22"/>
          <w:szCs w:val="20"/>
        </w:rPr>
        <w:t xml:space="preserve"> execution of </w:t>
      </w:r>
      <w:r>
        <w:rPr>
          <w:rFonts w:ascii="Calibri" w:eastAsia="Calibri" w:hAnsi="Calibri"/>
          <w:sz w:val="22"/>
          <w:szCs w:val="20"/>
        </w:rPr>
        <w:t>its</w:t>
      </w:r>
      <w:r w:rsidRPr="00115528">
        <w:rPr>
          <w:rFonts w:ascii="Calibri" w:eastAsia="Calibri" w:hAnsi="Calibri"/>
          <w:sz w:val="22"/>
          <w:szCs w:val="20"/>
        </w:rPr>
        <w:t xml:space="preserve"> internal controls over financial reporting, and the subsequent occurrence or identification of events prior to the formal issuance of the annual financial statements</w:t>
      </w:r>
      <w:r w:rsidRPr="00DE5E13">
        <w:rPr>
          <w:rFonts w:ascii="Calibri" w:eastAsia="Calibri" w:hAnsi="Calibri"/>
          <w:sz w:val="22"/>
          <w:szCs w:val="20"/>
        </w:rPr>
        <w:t>. The Company expects to report its final fiscal 2016 financial results on or about May 25, 2017.</w:t>
      </w:r>
    </w:p>
    <w:p w14:paraId="73DDD65B" w14:textId="77777777" w:rsidR="00DE5B0C" w:rsidRDefault="008E794E" w:rsidP="002A0422">
      <w:pPr>
        <w:spacing w:beforeLines="1" w:before="2" w:afterLines="1" w:after="2"/>
        <w:rPr>
          <w:rFonts w:asciiTheme="minorHAnsi" w:eastAsia="Calibri" w:hAnsiTheme="minorHAnsi"/>
          <w:sz w:val="22"/>
          <w:szCs w:val="20"/>
        </w:rPr>
      </w:pPr>
    </w:p>
    <w:p w14:paraId="20754923" w14:textId="77777777" w:rsidR="00174987" w:rsidRDefault="008E794E" w:rsidP="002A0422">
      <w:pPr>
        <w:spacing w:beforeLines="1" w:before="2" w:afterLines="1" w:after="2"/>
        <w:rPr>
          <w:rFonts w:eastAsia="Times New Roman"/>
        </w:rPr>
      </w:pPr>
    </w:p>
    <w:p w14:paraId="4E8382BB" w14:textId="77777777" w:rsidR="00174987" w:rsidRDefault="008E794E" w:rsidP="002A0422">
      <w:pPr>
        <w:spacing w:beforeLines="1" w:before="2" w:afterLines="1" w:after="2"/>
        <w:rPr>
          <w:rFonts w:eastAsia="Times New Roman"/>
        </w:rPr>
      </w:pPr>
    </w:p>
    <w:p w14:paraId="263B108F" w14:textId="77777777" w:rsidR="00174987" w:rsidRDefault="008E794E" w:rsidP="002A0422">
      <w:pPr>
        <w:spacing w:beforeLines="1" w:before="2" w:afterLines="1" w:after="2"/>
        <w:rPr>
          <w:rFonts w:eastAsia="Times New Roman"/>
        </w:rPr>
      </w:pPr>
    </w:p>
    <w:p w14:paraId="42F70282" w14:textId="77777777" w:rsidR="00174987" w:rsidRDefault="008E794E" w:rsidP="002A0422">
      <w:pPr>
        <w:spacing w:beforeLines="1" w:before="2" w:afterLines="1" w:after="2"/>
        <w:rPr>
          <w:rFonts w:eastAsia="Times New Roman"/>
        </w:rPr>
      </w:pPr>
    </w:p>
    <w:p w14:paraId="192816C9" w14:textId="77777777" w:rsidR="00174987" w:rsidRDefault="008E794E" w:rsidP="002A0422">
      <w:pPr>
        <w:spacing w:beforeLines="1" w:before="2" w:afterLines="1" w:after="2"/>
        <w:rPr>
          <w:rFonts w:eastAsia="Times New Roman"/>
        </w:rPr>
      </w:pPr>
    </w:p>
    <w:p w14:paraId="31FEE387" w14:textId="77777777" w:rsidR="00174987" w:rsidRDefault="008E794E" w:rsidP="002A0422">
      <w:pPr>
        <w:spacing w:beforeLines="1" w:before="2" w:afterLines="1" w:after="2"/>
        <w:rPr>
          <w:rFonts w:eastAsia="Times New Roman"/>
        </w:rPr>
      </w:pPr>
    </w:p>
    <w:p w14:paraId="1A6B88F6" w14:textId="77777777" w:rsidR="00356B0C" w:rsidRDefault="00356B0C" w:rsidP="00A946F5">
      <w:pPr>
        <w:pStyle w:val="BodyText2"/>
        <w:spacing w:after="0" w:line="240" w:lineRule="auto"/>
      </w:pPr>
    </w:p>
    <w:p w14:paraId="2A7213D2" w14:textId="77777777" w:rsidR="00A946F5" w:rsidRPr="002227F5" w:rsidRDefault="00AA0AA1" w:rsidP="00A946F5">
      <w:pPr>
        <w:pStyle w:val="BodyText2"/>
        <w:spacing w:after="0" w:line="240" w:lineRule="auto"/>
        <w:rPr>
          <w:rFonts w:ascii="Calibri" w:hAnsi="Calibri"/>
          <w:color w:val="000000"/>
          <w:sz w:val="22"/>
          <w:szCs w:val="22"/>
        </w:rPr>
      </w:pPr>
      <w:r w:rsidRPr="009157E3">
        <w:rPr>
          <w:rFonts w:ascii="Calibri" w:hAnsi="Calibri"/>
          <w:b/>
          <w:sz w:val="22"/>
          <w:szCs w:val="22"/>
        </w:rPr>
        <w:lastRenderedPageBreak/>
        <w:t>About AMSC (NASDAQ: AMSC)</w:t>
      </w:r>
      <w:r w:rsidRPr="002227F5">
        <w:rPr>
          <w:rFonts w:ascii="Calibri" w:hAnsi="Calibri"/>
          <w:color w:val="000000"/>
          <w:sz w:val="22"/>
          <w:szCs w:val="22"/>
        </w:rPr>
        <w:t xml:space="preserve"> </w:t>
      </w:r>
    </w:p>
    <w:p w14:paraId="756F1995" w14:textId="77777777" w:rsidR="00A946F5" w:rsidRPr="00ED0E88" w:rsidRDefault="00AA0AA1" w:rsidP="00A946F5">
      <w:pPr>
        <w:pStyle w:val="BodyText2"/>
        <w:spacing w:after="0" w:line="240" w:lineRule="auto"/>
        <w:rPr>
          <w:rFonts w:ascii="Calibri" w:hAnsi="Calibri"/>
          <w:color w:val="000000"/>
          <w:sz w:val="22"/>
          <w:szCs w:val="22"/>
        </w:rPr>
      </w:pPr>
      <w:r w:rsidRPr="002227F5">
        <w:rPr>
          <w:rFonts w:ascii="Calibri" w:hAnsi="Calibri"/>
          <w:color w:val="000000"/>
          <w:sz w:val="22"/>
          <w:szCs w:val="22"/>
        </w:rPr>
        <w:t xml:space="preserve">AMSC generates the ideas, technologies and solutions that meet the world’s demand for smarter, cleaner … better energy™. Through its </w:t>
      </w:r>
      <w:proofErr w:type="spellStart"/>
      <w:r w:rsidRPr="002227F5">
        <w:rPr>
          <w:rFonts w:ascii="Calibri" w:hAnsi="Calibri"/>
          <w:color w:val="000000"/>
          <w:sz w:val="22"/>
          <w:szCs w:val="22"/>
        </w:rPr>
        <w:t>Windtec</w:t>
      </w:r>
      <w:proofErr w:type="spellEnd"/>
      <w:r w:rsidRPr="002227F5">
        <w:rPr>
          <w:rFonts w:ascii="Calibri" w:hAnsi="Calibri" w:cs="Calibri"/>
          <w:color w:val="000000"/>
          <w:sz w:val="22"/>
          <w:szCs w:val="22"/>
        </w:rPr>
        <w:t>™</w:t>
      </w:r>
      <w:r w:rsidRPr="002227F5">
        <w:rPr>
          <w:rFonts w:ascii="Calibri" w:hAnsi="Calibri"/>
          <w:color w:val="000000"/>
          <w:sz w:val="22"/>
          <w:szCs w:val="22"/>
        </w:rPr>
        <w:t xml:space="preserve"> Solutions, AMSC provides wind turbine electronic controls and systems, designs and engineering services </w:t>
      </w:r>
      <w:r w:rsidRPr="00024AD8">
        <w:rPr>
          <w:rFonts w:ascii="Calibri" w:hAnsi="Calibri"/>
          <w:sz w:val="22"/>
          <w:szCs w:val="22"/>
        </w:rPr>
        <w:t xml:space="preserve">that reduce the cost of wind energy. Through its </w:t>
      </w:r>
      <w:proofErr w:type="spellStart"/>
      <w:r w:rsidRPr="00024AD8">
        <w:rPr>
          <w:rFonts w:ascii="Calibri" w:hAnsi="Calibri"/>
          <w:sz w:val="22"/>
          <w:szCs w:val="22"/>
        </w:rPr>
        <w:t>Gridtec</w:t>
      </w:r>
      <w:proofErr w:type="spellEnd"/>
      <w:r w:rsidRPr="00024AD8">
        <w:rPr>
          <w:rFonts w:ascii="Calibri" w:hAnsi="Calibri" w:cs="Calibri"/>
          <w:sz w:val="22"/>
          <w:szCs w:val="22"/>
        </w:rPr>
        <w:t>™</w:t>
      </w:r>
      <w:r w:rsidRPr="00024AD8">
        <w:rPr>
          <w:rFonts w:ascii="Calibri" w:hAnsi="Calibri"/>
          <w:sz w:val="22"/>
          <w:szCs w:val="22"/>
        </w:rPr>
        <w:t xml:space="preserve"> Solutions, AMSC provides the engineering planning services and advanced grid systems that optimize network reliability, efficiency and performance. The Company’s solutions are now powering gigawatts of renewable energy globally and are enhancing the performance and reliability of power networks in more than a dozen countries. Founded in 1987, AMSC is headquartered near Boston, Massachusetts with operations in Asia, Australia, Europe and North America.</w:t>
      </w:r>
    </w:p>
    <w:p w14:paraId="42354F1B" w14:textId="77777777" w:rsidR="00A946F5" w:rsidRDefault="008E794E" w:rsidP="00A946F5">
      <w:pPr>
        <w:rPr>
          <w:rStyle w:val="Hyperlink"/>
        </w:rPr>
      </w:pPr>
    </w:p>
    <w:p w14:paraId="1228A0E5" w14:textId="77777777" w:rsidR="00A946F5" w:rsidRPr="00647778" w:rsidRDefault="00AA0AA1" w:rsidP="00A946F5">
      <w:pPr>
        <w:rPr>
          <w:rFonts w:ascii="Calibri" w:hAnsi="Calibri" w:cs="Calibri"/>
          <w:i/>
          <w:iCs/>
          <w:sz w:val="18"/>
          <w:szCs w:val="18"/>
        </w:rPr>
      </w:pPr>
      <w:r w:rsidRPr="00647778">
        <w:rPr>
          <w:rFonts w:ascii="Calibri" w:hAnsi="Calibri" w:cs="Calibri"/>
          <w:i/>
          <w:iCs/>
          <w:sz w:val="18"/>
          <w:szCs w:val="18"/>
        </w:rPr>
        <w:t xml:space="preserve">AMSC, </w:t>
      </w:r>
      <w:proofErr w:type="spellStart"/>
      <w:r w:rsidRPr="00647778">
        <w:rPr>
          <w:rFonts w:ascii="Calibri" w:hAnsi="Calibri" w:cs="Calibri"/>
          <w:i/>
          <w:iCs/>
          <w:sz w:val="18"/>
          <w:szCs w:val="18"/>
        </w:rPr>
        <w:t>Windtec</w:t>
      </w:r>
      <w:proofErr w:type="spellEnd"/>
      <w:r w:rsidRPr="00647778">
        <w:rPr>
          <w:rFonts w:ascii="Calibri" w:hAnsi="Calibri" w:cs="Calibri"/>
          <w:i/>
          <w:iCs/>
          <w:sz w:val="18"/>
          <w:szCs w:val="18"/>
        </w:rPr>
        <w:t xml:space="preserve">, </w:t>
      </w:r>
      <w:proofErr w:type="spellStart"/>
      <w:r w:rsidRPr="00647778">
        <w:rPr>
          <w:rFonts w:ascii="Calibri" w:hAnsi="Calibri" w:cs="Calibri"/>
          <w:i/>
          <w:iCs/>
          <w:sz w:val="18"/>
          <w:szCs w:val="18"/>
        </w:rPr>
        <w:t>Gridtec</w:t>
      </w:r>
      <w:proofErr w:type="spellEnd"/>
      <w:r w:rsidRPr="00647778">
        <w:rPr>
          <w:rFonts w:ascii="Calibri" w:hAnsi="Calibri" w:cs="Calibri"/>
          <w:i/>
          <w:iCs/>
          <w:sz w:val="18"/>
          <w:szCs w:val="18"/>
        </w:rPr>
        <w:t>, and Smarter, Cleaner … Better Energy are trademarks or registered trademarks of American Superconductor Corporation. All other brand names, product names, trademarks, or service marks belong to their respective holders.</w:t>
      </w:r>
    </w:p>
    <w:p w14:paraId="3BB11BC0" w14:textId="77777777" w:rsidR="00A946F5" w:rsidRPr="00647778" w:rsidRDefault="008E794E" w:rsidP="00A946F5">
      <w:pPr>
        <w:rPr>
          <w:rFonts w:ascii="Calibri" w:hAnsi="Calibri" w:cs="Calibri"/>
          <w:i/>
          <w:iCs/>
          <w:sz w:val="18"/>
          <w:szCs w:val="18"/>
        </w:rPr>
      </w:pPr>
    </w:p>
    <w:p w14:paraId="14827530" w14:textId="77777777" w:rsidR="00A946F5" w:rsidRPr="00144186" w:rsidRDefault="00AA0AA1" w:rsidP="00A946F5">
      <w:pPr>
        <w:rPr>
          <w:rFonts w:ascii="Calibri" w:hAnsi="Calibri" w:cs="Calibri"/>
          <w:i/>
          <w:iCs/>
          <w:sz w:val="18"/>
          <w:szCs w:val="18"/>
          <w:u w:val="single"/>
        </w:rPr>
      </w:pPr>
      <w:r w:rsidRPr="00144186">
        <w:rPr>
          <w:rFonts w:ascii="Calibri" w:hAnsi="Calibri" w:cs="Calibri"/>
          <w:i/>
          <w:iCs/>
          <w:sz w:val="18"/>
          <w:szCs w:val="18"/>
          <w:u w:val="single"/>
        </w:rPr>
        <w:t>Forward-Looking Statements</w:t>
      </w:r>
    </w:p>
    <w:p w14:paraId="6BD65D25" w14:textId="77777777" w:rsidR="00A946F5" w:rsidRPr="00647778" w:rsidRDefault="008E794E" w:rsidP="00A946F5">
      <w:pPr>
        <w:rPr>
          <w:rFonts w:ascii="Calibri" w:hAnsi="Calibri" w:cs="Calibri"/>
          <w:i/>
          <w:iCs/>
          <w:sz w:val="18"/>
          <w:szCs w:val="18"/>
        </w:rPr>
      </w:pPr>
    </w:p>
    <w:p w14:paraId="19C042D0" w14:textId="77777777" w:rsidR="00515226" w:rsidRDefault="00AA0AA1" w:rsidP="00A946F5">
      <w:pPr>
        <w:rPr>
          <w:rStyle w:val="Emphasis"/>
          <w:rFonts w:asciiTheme="minorHAnsi" w:hAnsiTheme="minorHAnsi" w:cs="Arial"/>
          <w:sz w:val="18"/>
          <w:szCs w:val="18"/>
        </w:rPr>
      </w:pPr>
      <w:r w:rsidRPr="00515226">
        <w:rPr>
          <w:rStyle w:val="Emphasis"/>
          <w:rFonts w:asciiTheme="minorHAnsi" w:hAnsiTheme="minorHAnsi" w:cs="Arial"/>
          <w:sz w:val="18"/>
          <w:szCs w:val="18"/>
        </w:rPr>
        <w:t xml:space="preserve">This press release contains forward-looking statements within the meaning of Section 21E of the Securities Exchange Act of 1934, as amended (the "Exchange Act"). </w:t>
      </w:r>
      <w:r>
        <w:rPr>
          <w:rStyle w:val="Emphasis"/>
          <w:rFonts w:asciiTheme="minorHAnsi" w:hAnsiTheme="minorHAnsi" w:cs="Arial"/>
          <w:sz w:val="18"/>
          <w:szCs w:val="18"/>
        </w:rPr>
        <w:t xml:space="preserve"> </w:t>
      </w:r>
      <w:r w:rsidRPr="00515226">
        <w:rPr>
          <w:rStyle w:val="Emphasis"/>
          <w:rFonts w:asciiTheme="minorHAnsi" w:hAnsiTheme="minorHAnsi" w:cs="Arial"/>
          <w:sz w:val="18"/>
          <w:szCs w:val="18"/>
        </w:rPr>
        <w:t>Any statements in this release about our expectations regarding</w:t>
      </w:r>
      <w:r>
        <w:rPr>
          <w:rStyle w:val="Emphasis"/>
          <w:rFonts w:asciiTheme="minorHAnsi" w:hAnsiTheme="minorHAnsi" w:cs="Arial"/>
          <w:sz w:val="18"/>
          <w:szCs w:val="18"/>
        </w:rPr>
        <w:t xml:space="preserve"> shipments to </w:t>
      </w:r>
      <w:proofErr w:type="spellStart"/>
      <w:r>
        <w:rPr>
          <w:rStyle w:val="Emphasis"/>
          <w:rFonts w:asciiTheme="minorHAnsi" w:hAnsiTheme="minorHAnsi" w:cs="Arial"/>
          <w:sz w:val="18"/>
          <w:szCs w:val="18"/>
        </w:rPr>
        <w:t>Inox</w:t>
      </w:r>
      <w:proofErr w:type="spellEnd"/>
      <w:r>
        <w:rPr>
          <w:rStyle w:val="Emphasis"/>
          <w:rFonts w:asciiTheme="minorHAnsi" w:hAnsiTheme="minorHAnsi" w:cs="Arial"/>
          <w:sz w:val="18"/>
          <w:szCs w:val="18"/>
        </w:rPr>
        <w:t xml:space="preserve"> and the temporary demand dislocation in India, </w:t>
      </w:r>
      <w:r w:rsidRPr="00515226">
        <w:rPr>
          <w:rStyle w:val="Emphasis"/>
          <w:rFonts w:asciiTheme="minorHAnsi" w:hAnsiTheme="minorHAnsi" w:cs="Arial"/>
          <w:sz w:val="18"/>
          <w:szCs w:val="18"/>
        </w:rPr>
        <w:t xml:space="preserve">our </w:t>
      </w:r>
      <w:r>
        <w:rPr>
          <w:rStyle w:val="Emphasis"/>
          <w:rFonts w:asciiTheme="minorHAnsi" w:hAnsiTheme="minorHAnsi" w:cs="Arial"/>
          <w:sz w:val="18"/>
          <w:szCs w:val="18"/>
        </w:rPr>
        <w:t xml:space="preserve">financial results for the fourth quarter of fiscal 2016 and the full fiscal year 2016, our anticipated cash balance at March 31, 2017 and </w:t>
      </w:r>
      <w:r w:rsidR="00AC5333">
        <w:rPr>
          <w:rStyle w:val="Emphasis"/>
          <w:rFonts w:asciiTheme="minorHAnsi" w:hAnsiTheme="minorHAnsi" w:cs="Arial"/>
          <w:sz w:val="18"/>
          <w:szCs w:val="18"/>
        </w:rPr>
        <w:t xml:space="preserve">our </w:t>
      </w:r>
      <w:r w:rsidR="00CA6B5C">
        <w:rPr>
          <w:rStyle w:val="Emphasis"/>
          <w:rFonts w:asciiTheme="minorHAnsi" w:hAnsiTheme="minorHAnsi" w:cs="Arial"/>
          <w:sz w:val="18"/>
          <w:szCs w:val="18"/>
        </w:rPr>
        <w:t xml:space="preserve">cash burn during the quarter ending </w:t>
      </w:r>
      <w:r>
        <w:rPr>
          <w:rStyle w:val="Emphasis"/>
          <w:rFonts w:asciiTheme="minorHAnsi" w:hAnsiTheme="minorHAnsi" w:cs="Arial"/>
          <w:sz w:val="18"/>
          <w:szCs w:val="18"/>
        </w:rPr>
        <w:t xml:space="preserve">June 30, 2017, </w:t>
      </w:r>
      <w:r w:rsidRPr="00515226">
        <w:rPr>
          <w:rStyle w:val="Emphasis"/>
          <w:rFonts w:asciiTheme="minorHAnsi" w:hAnsiTheme="minorHAnsi" w:cs="Arial"/>
          <w:sz w:val="18"/>
          <w:szCs w:val="18"/>
        </w:rPr>
        <w:t xml:space="preserve">and other statements containing the words "believes," "anticipates," "plans," "expects," "will" and similar expressions, constitute forward-looking statements within the meaning of the Private Securities Litigation Reform Act of 1995. Any statements in this release about our expectations regarding anticipated financial results, strong revenues in the fourth quarter and other statements containing the words "believes," "anticipates," "plans," "expects," "will" and similar expressions, constitute forward-looking statements within the meaning of the Private Securities Litigation Reform Act of 1995. Such forward-looking statements represent management's current expectations and are inherently uncertain. There are a number of important factors that could materially impact the value of our common stock or cause actual results to differ materially from those indicated by such forward-looking statements. These important factors include, but are not limited to: A significant portion of our revenues are derived from a single customer, </w:t>
      </w:r>
      <w:proofErr w:type="spellStart"/>
      <w:r w:rsidRPr="00515226">
        <w:rPr>
          <w:rStyle w:val="Emphasis"/>
          <w:rFonts w:asciiTheme="minorHAnsi" w:hAnsiTheme="minorHAnsi" w:cs="Arial"/>
          <w:sz w:val="18"/>
          <w:szCs w:val="18"/>
        </w:rPr>
        <w:t>Inox</w:t>
      </w:r>
      <w:proofErr w:type="spellEnd"/>
      <w:r w:rsidRPr="00515226">
        <w:rPr>
          <w:rStyle w:val="Emphasis"/>
          <w:rFonts w:asciiTheme="minorHAnsi" w:hAnsiTheme="minorHAnsi" w:cs="Arial"/>
          <w:sz w:val="18"/>
          <w:szCs w:val="18"/>
        </w:rPr>
        <w:t xml:space="preserve">, and shipments to </w:t>
      </w:r>
      <w:proofErr w:type="spellStart"/>
      <w:r w:rsidRPr="00515226">
        <w:rPr>
          <w:rStyle w:val="Emphasis"/>
          <w:rFonts w:asciiTheme="minorHAnsi" w:hAnsiTheme="minorHAnsi" w:cs="Arial"/>
          <w:sz w:val="18"/>
          <w:szCs w:val="18"/>
        </w:rPr>
        <w:t>Inox</w:t>
      </w:r>
      <w:proofErr w:type="spellEnd"/>
      <w:r w:rsidRPr="00515226">
        <w:rPr>
          <w:rStyle w:val="Emphasis"/>
          <w:rFonts w:asciiTheme="minorHAnsi" w:hAnsiTheme="minorHAnsi" w:cs="Arial"/>
          <w:sz w:val="18"/>
          <w:szCs w:val="18"/>
        </w:rPr>
        <w:t xml:space="preserve"> may not occur in the time frame we expect; We have a history of operating losses and negative operating cash flows, which may continue in the future and require us to secure additional financing in the future; Our operating results may fluctuate significantly from quarter to quarter and may fall below expectations in any particular fiscal quarter; Our financial condition may have an adverse effect on our customer and supplier relationships; Our success in addressing the wind energy market is dependent on the manufacturers that license our designs; Our success is dependent upon attracting and retaining qualified personnel and our inability to do so could significantly damage our business and prospects; We rely upon third-party suppliers for the components and subassemblies of many of our Wind and Grid products, making us vulnerable to supply shortages and price fluctuations; We may not realize all of the sales expected from our backlog of orders and contracts; Our success depends upon the commercial use of high temperature superconductor ("HTS") products, which is currently limited, and a widespread commercial market for our products may not develop; Growth of the wind energy market depends largely on the availability and size of government subsidies and economic incentives; We have operations in and depend on sales in emerging markets, including India and China, and global conditions could negatively affect our operating results or limit our ability to expand our operations outside of these countries; We face risks related to our intellectual property; We face risks related to our legal proceedings; and the important factors discussed under the caption "Risk Factors" in Part 1. Item 1A of our Form 10-K for the fiscal year ended March 31, 2016, and our other reports filed with the SEC. These important factors, among others, could cause actual results to differ materially from those indicated by forward-looking statements made herein and presented elsewhere by management from time to time. Any such forward-looking statements represent management's estimates as of the date of this press release. While we may elect to update such forward-looking statements at some point in the future, we disclaim any obligation to do so, even if subsequent events cause our views to change. These forward-looking statements should not be relied upon as representing our views as of any date subsequent to</w:t>
      </w:r>
      <w:r>
        <w:rPr>
          <w:rStyle w:val="Emphasis"/>
          <w:rFonts w:asciiTheme="minorHAnsi" w:hAnsiTheme="minorHAnsi" w:cs="Arial"/>
          <w:sz w:val="18"/>
          <w:szCs w:val="18"/>
        </w:rPr>
        <w:t xml:space="preserve"> the date of this press release</w:t>
      </w:r>
      <w:r w:rsidRPr="00BA25C7">
        <w:rPr>
          <w:rStyle w:val="Emphasis"/>
          <w:rFonts w:asciiTheme="minorHAnsi" w:hAnsiTheme="minorHAnsi" w:cs="Arial"/>
          <w:sz w:val="18"/>
          <w:szCs w:val="18"/>
        </w:rPr>
        <w:t>.</w:t>
      </w:r>
    </w:p>
    <w:p w14:paraId="7FCFEE77" w14:textId="77777777" w:rsidR="00356B0C" w:rsidRDefault="00356B0C" w:rsidP="00A946F5">
      <w:pPr>
        <w:rPr>
          <w:rStyle w:val="Emphasis"/>
          <w:rFonts w:asciiTheme="minorHAnsi" w:hAnsiTheme="minorHAnsi" w:cs="Arial"/>
          <w:sz w:val="18"/>
          <w:szCs w:val="18"/>
        </w:rPr>
      </w:pPr>
    </w:p>
    <w:p w14:paraId="66FC4151" w14:textId="77777777" w:rsidR="00A946F5" w:rsidRPr="00356B0C" w:rsidRDefault="00AA0AA1" w:rsidP="00A946F5">
      <w:pPr>
        <w:rPr>
          <w:rFonts w:asciiTheme="minorHAnsi" w:hAnsiTheme="minorHAnsi" w:cs="Arial"/>
          <w:i/>
          <w:iCs/>
          <w:sz w:val="18"/>
          <w:szCs w:val="18"/>
        </w:rPr>
      </w:pPr>
      <w:bookmarkStart w:id="1" w:name="_GoBack"/>
      <w:bookmarkEnd w:id="1"/>
      <w:r w:rsidRPr="00647778">
        <w:rPr>
          <w:rFonts w:ascii="Calibri" w:eastAsia="Malgun Gothic" w:hAnsi="Calibri"/>
          <w:b/>
          <w:noProof/>
          <w:sz w:val="22"/>
          <w:szCs w:val="22"/>
        </w:rPr>
        <w:t>AMSC Contact:</w:t>
      </w:r>
    </w:p>
    <w:p w14:paraId="7662A474" w14:textId="77777777" w:rsidR="00A946F5" w:rsidRPr="00710642" w:rsidRDefault="00AA0AA1" w:rsidP="00A946F5">
      <w:pPr>
        <w:pStyle w:val="amscNormal"/>
        <w:rPr>
          <w:rFonts w:eastAsia="Malgun Gothic"/>
          <w:noProof/>
          <w:color w:val="auto"/>
          <w:sz w:val="22"/>
        </w:rPr>
      </w:pPr>
      <w:r w:rsidRPr="00710642">
        <w:rPr>
          <w:rFonts w:eastAsia="Malgun Gothic"/>
          <w:noProof/>
          <w:color w:val="auto"/>
          <w:sz w:val="22"/>
        </w:rPr>
        <w:t>Brion D. Tanous</w:t>
      </w:r>
    </w:p>
    <w:p w14:paraId="414BE2C9" w14:textId="77777777" w:rsidR="00A946F5" w:rsidRPr="00605137" w:rsidRDefault="00AA0AA1" w:rsidP="00A946F5">
      <w:pPr>
        <w:pStyle w:val="amscNormal"/>
        <w:rPr>
          <w:color w:val="auto"/>
          <w:sz w:val="22"/>
        </w:rPr>
      </w:pPr>
      <w:r>
        <w:rPr>
          <w:rFonts w:eastAsia="Malgun Gothic"/>
          <w:noProof/>
          <w:color w:val="auto"/>
          <w:sz w:val="22"/>
        </w:rPr>
        <w:t>AMSC Investor Relations</w:t>
      </w:r>
      <w:r w:rsidRPr="00710642">
        <w:rPr>
          <w:rFonts w:eastAsia="Malgun Gothic"/>
          <w:noProof/>
          <w:color w:val="auto"/>
          <w:sz w:val="22"/>
        </w:rPr>
        <w:t xml:space="preserve"> </w:t>
      </w:r>
      <w:r w:rsidRPr="00710642">
        <w:rPr>
          <w:rFonts w:eastAsia="Malgun Gothic"/>
          <w:noProof/>
          <w:color w:val="auto"/>
          <w:sz w:val="22"/>
        </w:rPr>
        <w:br/>
        <w:t xml:space="preserve">Phone: </w:t>
      </w:r>
      <w:r>
        <w:rPr>
          <w:rFonts w:eastAsia="Malgun Gothic"/>
          <w:noProof/>
          <w:color w:val="auto"/>
          <w:sz w:val="22"/>
        </w:rPr>
        <w:t>424-634-8592</w:t>
      </w:r>
      <w:r w:rsidRPr="00710642">
        <w:rPr>
          <w:rFonts w:eastAsia="Malgun Gothic"/>
          <w:noProof/>
          <w:color w:val="auto"/>
          <w:sz w:val="22"/>
        </w:rPr>
        <w:br/>
        <w:t>Email: Brion.Tanous@amsc.com</w:t>
      </w:r>
    </w:p>
    <w:sectPr w:rsidR="00A946F5" w:rsidRPr="00605137" w:rsidSect="00A946F5">
      <w:headerReference w:type="default" r:id="rId7"/>
      <w:headerReference w:type="first" r:id="rId8"/>
      <w:footerReference w:type="first" r:id="rId9"/>
      <w:pgSz w:w="12240" w:h="15840" w:code="1"/>
      <w:pgMar w:top="1440" w:right="1440" w:bottom="1440" w:left="1440" w:header="706" w:footer="46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BD4E" w14:textId="77777777" w:rsidR="008E794E" w:rsidRDefault="008E794E">
      <w:r>
        <w:separator/>
      </w:r>
    </w:p>
  </w:endnote>
  <w:endnote w:type="continuationSeparator" w:id="0">
    <w:p w14:paraId="13AD7134" w14:textId="77777777" w:rsidR="008E794E" w:rsidRDefault="008E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A0" w:firstRow="1" w:lastRow="0" w:firstColumn="1" w:lastColumn="0" w:noHBand="0" w:noVBand="0"/>
    </w:tblPr>
    <w:tblGrid>
      <w:gridCol w:w="3388"/>
      <w:gridCol w:w="3415"/>
      <w:gridCol w:w="2267"/>
    </w:tblGrid>
    <w:tr w:rsidR="002829EC" w14:paraId="3EDFABFB" w14:textId="77777777">
      <w:tc>
        <w:tcPr>
          <w:tcW w:w="3388" w:type="dxa"/>
          <w:tcMar>
            <w:left w:w="0" w:type="dxa"/>
            <w:right w:w="0" w:type="dxa"/>
          </w:tcMar>
        </w:tcPr>
        <w:p w14:paraId="56F42EFA" w14:textId="77777777" w:rsidR="00DE5B0C" w:rsidRPr="00743EE1" w:rsidRDefault="008E794E" w:rsidP="00A946F5">
          <w:pPr>
            <w:pStyle w:val="amscBusinessDetails"/>
            <w:rPr>
              <w:noProof/>
            </w:rPr>
          </w:pPr>
        </w:p>
      </w:tc>
      <w:tc>
        <w:tcPr>
          <w:tcW w:w="3415" w:type="dxa"/>
          <w:tcMar>
            <w:left w:w="0" w:type="dxa"/>
            <w:right w:w="0" w:type="dxa"/>
          </w:tcMar>
        </w:tcPr>
        <w:p w14:paraId="70BB1E69" w14:textId="77777777" w:rsidR="00DE5B0C" w:rsidRPr="00743EE1" w:rsidRDefault="008E794E" w:rsidP="00A946F5">
          <w:pPr>
            <w:pStyle w:val="amscBusinessDetails"/>
            <w:rPr>
              <w:noProof/>
            </w:rPr>
          </w:pPr>
        </w:p>
      </w:tc>
      <w:tc>
        <w:tcPr>
          <w:tcW w:w="2267" w:type="dxa"/>
          <w:tcMar>
            <w:left w:w="0" w:type="dxa"/>
            <w:right w:w="0" w:type="dxa"/>
          </w:tcMar>
        </w:tcPr>
        <w:p w14:paraId="558A8A12" w14:textId="77777777" w:rsidR="00DE5B0C" w:rsidRPr="00743EE1" w:rsidRDefault="008E794E" w:rsidP="00A946F5">
          <w:pPr>
            <w:pStyle w:val="amscBankDetails"/>
            <w:rPr>
              <w:noProof/>
            </w:rPr>
          </w:pPr>
        </w:p>
      </w:tc>
    </w:tr>
  </w:tbl>
  <w:p w14:paraId="25D5950D" w14:textId="77777777" w:rsidR="00DE5B0C" w:rsidRDefault="008E794E" w:rsidP="00A946F5">
    <w:pPr>
      <w:pStyle w:val="amscBusinessDetails"/>
      <w:rPr>
        <w:noProo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8C334" w14:textId="77777777" w:rsidR="008E794E" w:rsidRDefault="008E794E">
      <w:r>
        <w:separator/>
      </w:r>
    </w:p>
  </w:footnote>
  <w:footnote w:type="continuationSeparator" w:id="0">
    <w:p w14:paraId="13FFD05E" w14:textId="77777777" w:rsidR="008E794E" w:rsidRDefault="008E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A532" w14:textId="77777777" w:rsidR="00DE5B0C" w:rsidRDefault="00AA0AA1" w:rsidP="00A946F5">
    <w:pPr>
      <w:pStyle w:val="Header"/>
      <w:tabs>
        <w:tab w:val="clear" w:pos="4513"/>
        <w:tab w:val="center" w:pos="7200"/>
      </w:tabs>
      <w:rPr>
        <w:noProof/>
      </w:rPr>
    </w:pPr>
    <w:r>
      <w:rPr>
        <w:noProof/>
      </w:rPr>
      <w:tab/>
      <w:t xml:space="preserve">Page </w:t>
    </w:r>
    <w:r>
      <w:fldChar w:fldCharType="begin"/>
    </w:r>
    <w:r>
      <w:instrText xml:space="preserve"> PAGE   \* MERGEFORMAT </w:instrText>
    </w:r>
    <w:r>
      <w:fldChar w:fldCharType="separate"/>
    </w:r>
    <w:r w:rsidR="00356B0C">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46849" w14:textId="77777777" w:rsidR="00DE5B0C" w:rsidRDefault="00AA0AA1" w:rsidP="00A946F5">
    <w:pPr>
      <w:pStyle w:val="Header"/>
      <w:tabs>
        <w:tab w:val="clear" w:pos="4513"/>
        <w:tab w:val="clear" w:pos="9026"/>
        <w:tab w:val="right" w:pos="9360"/>
      </w:tabs>
      <w:rPr>
        <w:noProof/>
      </w:rPr>
    </w:pPr>
    <w:r>
      <w:rPr>
        <w:noProof/>
        <w:lang w:val="en-US"/>
      </w:rPr>
      <w:drawing>
        <wp:anchor distT="0" distB="0" distL="114300" distR="114300" simplePos="0" relativeHeight="251658240" behindDoc="1" locked="0" layoutInCell="1" allowOverlap="1" wp14:anchorId="349FC715" wp14:editId="70A543CC">
          <wp:simplePos x="0" y="0"/>
          <wp:positionH relativeFrom="column">
            <wp:posOffset>5621655</wp:posOffset>
          </wp:positionH>
          <wp:positionV relativeFrom="paragraph">
            <wp:posOffset>-108585</wp:posOffset>
          </wp:positionV>
          <wp:extent cx="891540" cy="891540"/>
          <wp:effectExtent l="0" t="0" r="3810" b="3810"/>
          <wp:wrapNone/>
          <wp:docPr id="4" name="Picture 4" descr="Z:\Graphic Images - Not Photography\logos\2011-BrandNext\Final Logo\with registration\AMSC_CMYK_100mm_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736400" name="Picture 1" descr="Z:\Graphic Images - Not Photography\logos\2011-BrandNext\Final Logo\with registration\AMSC_CMYK_100mm_re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1540" cy="891540"/>
                  </a:xfrm>
                  <a:prstGeom prst="rect">
                    <a:avLst/>
                  </a:prstGeom>
                  <a:noFill/>
                  <a:ln>
                    <a:noFill/>
                  </a:ln>
                </pic:spPr>
              </pic:pic>
            </a:graphicData>
          </a:graphic>
        </wp:anchor>
      </w:drawing>
    </w:r>
    <w:r>
      <w:rPr>
        <w:noProof/>
        <w:lang w:val="en-US"/>
      </w:rPr>
      <w:drawing>
        <wp:anchor distT="0" distB="0" distL="114300" distR="114300" simplePos="0" relativeHeight="251660288" behindDoc="1" locked="1" layoutInCell="1" allowOverlap="1" wp14:anchorId="0F26DAC7" wp14:editId="60A3CCE6">
          <wp:simplePos x="0" y="0"/>
          <wp:positionH relativeFrom="page">
            <wp:posOffset>1575435</wp:posOffset>
          </wp:positionH>
          <wp:positionV relativeFrom="page">
            <wp:posOffset>9053195</wp:posOffset>
          </wp:positionV>
          <wp:extent cx="6200140" cy="1004570"/>
          <wp:effectExtent l="0" t="0" r="0" b="5080"/>
          <wp:wrapNone/>
          <wp:docPr id="1" name="Picture 6" descr="press_release_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760936" name="Picture 6" descr="press_release_new.ti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200140" cy="1004570"/>
                  </a:xfrm>
                  <a:prstGeom prst="rect">
                    <a:avLst/>
                  </a:prstGeom>
                  <a:noFill/>
                </pic:spPr>
              </pic:pic>
            </a:graphicData>
          </a:graphic>
        </wp:anchor>
      </w:drawing>
    </w:r>
    <w:r>
      <w:rPr>
        <w:noProof/>
        <w:lang w:val="en-US"/>
      </w:rPr>
      <w:drawing>
        <wp:anchor distT="0" distB="0" distL="114300" distR="114300" simplePos="0" relativeHeight="251659264" behindDoc="1" locked="1" layoutInCell="1" allowOverlap="1" wp14:anchorId="06F86DC6" wp14:editId="0397ECB8">
          <wp:simplePos x="0" y="0"/>
          <wp:positionH relativeFrom="page">
            <wp:posOffset>0</wp:posOffset>
          </wp:positionH>
          <wp:positionV relativeFrom="page">
            <wp:posOffset>0</wp:posOffset>
          </wp:positionV>
          <wp:extent cx="4000500" cy="1282700"/>
          <wp:effectExtent l="0" t="0" r="0" b="0"/>
          <wp:wrapNone/>
          <wp:docPr id="2" name="Picture 2" descr="Phot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82254" name="Picture 2" descr="Photo_new.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000500" cy="1282700"/>
                  </a:xfrm>
                  <a:prstGeom prst="rect">
                    <a:avLst/>
                  </a:prstGeom>
                  <a:noFill/>
                </pic:spPr>
              </pic:pic>
            </a:graphicData>
          </a:graphic>
        </wp:anchor>
      </w:drawing>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75E37"/>
    <w:multiLevelType w:val="multilevel"/>
    <w:tmpl w:val="5CF0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01B07"/>
    <w:multiLevelType w:val="hybridMultilevel"/>
    <w:tmpl w:val="10C6D9AC"/>
    <w:lvl w:ilvl="0" w:tplc="70D2B94C">
      <w:start w:val="12"/>
      <w:numFmt w:val="bullet"/>
      <w:lvlText w:val="-"/>
      <w:lvlJc w:val="left"/>
      <w:pPr>
        <w:ind w:left="435" w:hanging="360"/>
      </w:pPr>
      <w:rPr>
        <w:rFonts w:ascii="Calibri" w:eastAsia="MS Mincho" w:hAnsi="Calibri" w:cs="Symbol" w:hint="default"/>
      </w:rPr>
    </w:lvl>
    <w:lvl w:ilvl="1" w:tplc="38986C4A" w:tentative="1">
      <w:start w:val="1"/>
      <w:numFmt w:val="bullet"/>
      <w:lvlText w:val="o"/>
      <w:lvlJc w:val="left"/>
      <w:pPr>
        <w:ind w:left="1155" w:hanging="360"/>
      </w:pPr>
      <w:rPr>
        <w:rFonts w:ascii="Courier New" w:hAnsi="Courier New" w:cs="Arial" w:hint="default"/>
      </w:rPr>
    </w:lvl>
    <w:lvl w:ilvl="2" w:tplc="DA0A29F4" w:tentative="1">
      <w:start w:val="1"/>
      <w:numFmt w:val="bullet"/>
      <w:lvlText w:val=""/>
      <w:lvlJc w:val="left"/>
      <w:pPr>
        <w:ind w:left="1875" w:hanging="360"/>
      </w:pPr>
      <w:rPr>
        <w:rFonts w:ascii="Wingdings" w:hAnsi="Wingdings" w:hint="default"/>
      </w:rPr>
    </w:lvl>
    <w:lvl w:ilvl="3" w:tplc="FC0AB660" w:tentative="1">
      <w:start w:val="1"/>
      <w:numFmt w:val="bullet"/>
      <w:lvlText w:val=""/>
      <w:lvlJc w:val="left"/>
      <w:pPr>
        <w:ind w:left="2595" w:hanging="360"/>
      </w:pPr>
      <w:rPr>
        <w:rFonts w:ascii="Symbol" w:hAnsi="Symbol" w:hint="default"/>
      </w:rPr>
    </w:lvl>
    <w:lvl w:ilvl="4" w:tplc="008E8EC2" w:tentative="1">
      <w:start w:val="1"/>
      <w:numFmt w:val="bullet"/>
      <w:lvlText w:val="o"/>
      <w:lvlJc w:val="left"/>
      <w:pPr>
        <w:ind w:left="3315" w:hanging="360"/>
      </w:pPr>
      <w:rPr>
        <w:rFonts w:ascii="Courier New" w:hAnsi="Courier New" w:cs="Arial" w:hint="default"/>
      </w:rPr>
    </w:lvl>
    <w:lvl w:ilvl="5" w:tplc="42AE9E50" w:tentative="1">
      <w:start w:val="1"/>
      <w:numFmt w:val="bullet"/>
      <w:lvlText w:val=""/>
      <w:lvlJc w:val="left"/>
      <w:pPr>
        <w:ind w:left="4035" w:hanging="360"/>
      </w:pPr>
      <w:rPr>
        <w:rFonts w:ascii="Wingdings" w:hAnsi="Wingdings" w:hint="default"/>
      </w:rPr>
    </w:lvl>
    <w:lvl w:ilvl="6" w:tplc="CE6699F4" w:tentative="1">
      <w:start w:val="1"/>
      <w:numFmt w:val="bullet"/>
      <w:lvlText w:val=""/>
      <w:lvlJc w:val="left"/>
      <w:pPr>
        <w:ind w:left="4755" w:hanging="360"/>
      </w:pPr>
      <w:rPr>
        <w:rFonts w:ascii="Symbol" w:hAnsi="Symbol" w:hint="default"/>
      </w:rPr>
    </w:lvl>
    <w:lvl w:ilvl="7" w:tplc="B2AAB370" w:tentative="1">
      <w:start w:val="1"/>
      <w:numFmt w:val="bullet"/>
      <w:lvlText w:val="o"/>
      <w:lvlJc w:val="left"/>
      <w:pPr>
        <w:ind w:left="5475" w:hanging="360"/>
      </w:pPr>
      <w:rPr>
        <w:rFonts w:ascii="Courier New" w:hAnsi="Courier New" w:cs="Arial" w:hint="default"/>
      </w:rPr>
    </w:lvl>
    <w:lvl w:ilvl="8" w:tplc="4CA855EC" w:tentative="1">
      <w:start w:val="1"/>
      <w:numFmt w:val="bullet"/>
      <w:lvlText w:val=""/>
      <w:lvlJc w:val="left"/>
      <w:pPr>
        <w:ind w:left="6195" w:hanging="360"/>
      </w:pPr>
      <w:rPr>
        <w:rFonts w:ascii="Wingdings" w:hAnsi="Wingdings" w:hint="default"/>
      </w:rPr>
    </w:lvl>
  </w:abstractNum>
  <w:abstractNum w:abstractNumId="2">
    <w:nsid w:val="365771BC"/>
    <w:multiLevelType w:val="hybridMultilevel"/>
    <w:tmpl w:val="1D6E5AFE"/>
    <w:lvl w:ilvl="0" w:tplc="202A3AE8">
      <w:start w:val="1"/>
      <w:numFmt w:val="bullet"/>
      <w:lvlText w:val=""/>
      <w:lvlJc w:val="left"/>
      <w:pPr>
        <w:ind w:left="720" w:hanging="360"/>
      </w:pPr>
      <w:rPr>
        <w:rFonts w:ascii="Symbol" w:hAnsi="Symbol" w:hint="default"/>
      </w:rPr>
    </w:lvl>
    <w:lvl w:ilvl="1" w:tplc="55BC7020" w:tentative="1">
      <w:start w:val="1"/>
      <w:numFmt w:val="bullet"/>
      <w:lvlText w:val="o"/>
      <w:lvlJc w:val="left"/>
      <w:pPr>
        <w:ind w:left="1440" w:hanging="360"/>
      </w:pPr>
      <w:rPr>
        <w:rFonts w:ascii="Courier New" w:hAnsi="Courier New" w:cs="Arial" w:hint="default"/>
      </w:rPr>
    </w:lvl>
    <w:lvl w:ilvl="2" w:tplc="FD684B68" w:tentative="1">
      <w:start w:val="1"/>
      <w:numFmt w:val="bullet"/>
      <w:lvlText w:val=""/>
      <w:lvlJc w:val="left"/>
      <w:pPr>
        <w:ind w:left="2160" w:hanging="360"/>
      </w:pPr>
      <w:rPr>
        <w:rFonts w:ascii="Wingdings" w:hAnsi="Wingdings" w:hint="default"/>
      </w:rPr>
    </w:lvl>
    <w:lvl w:ilvl="3" w:tplc="585EA3A6" w:tentative="1">
      <w:start w:val="1"/>
      <w:numFmt w:val="bullet"/>
      <w:lvlText w:val=""/>
      <w:lvlJc w:val="left"/>
      <w:pPr>
        <w:ind w:left="2880" w:hanging="360"/>
      </w:pPr>
      <w:rPr>
        <w:rFonts w:ascii="Symbol" w:hAnsi="Symbol" w:hint="default"/>
      </w:rPr>
    </w:lvl>
    <w:lvl w:ilvl="4" w:tplc="9D961DBC" w:tentative="1">
      <w:start w:val="1"/>
      <w:numFmt w:val="bullet"/>
      <w:lvlText w:val="o"/>
      <w:lvlJc w:val="left"/>
      <w:pPr>
        <w:ind w:left="3600" w:hanging="360"/>
      </w:pPr>
      <w:rPr>
        <w:rFonts w:ascii="Courier New" w:hAnsi="Courier New" w:cs="Arial" w:hint="default"/>
      </w:rPr>
    </w:lvl>
    <w:lvl w:ilvl="5" w:tplc="FC48165A" w:tentative="1">
      <w:start w:val="1"/>
      <w:numFmt w:val="bullet"/>
      <w:lvlText w:val=""/>
      <w:lvlJc w:val="left"/>
      <w:pPr>
        <w:ind w:left="4320" w:hanging="360"/>
      </w:pPr>
      <w:rPr>
        <w:rFonts w:ascii="Wingdings" w:hAnsi="Wingdings" w:hint="default"/>
      </w:rPr>
    </w:lvl>
    <w:lvl w:ilvl="6" w:tplc="BACEE5D8" w:tentative="1">
      <w:start w:val="1"/>
      <w:numFmt w:val="bullet"/>
      <w:lvlText w:val=""/>
      <w:lvlJc w:val="left"/>
      <w:pPr>
        <w:ind w:left="5040" w:hanging="360"/>
      </w:pPr>
      <w:rPr>
        <w:rFonts w:ascii="Symbol" w:hAnsi="Symbol" w:hint="default"/>
      </w:rPr>
    </w:lvl>
    <w:lvl w:ilvl="7" w:tplc="2174B844" w:tentative="1">
      <w:start w:val="1"/>
      <w:numFmt w:val="bullet"/>
      <w:lvlText w:val="o"/>
      <w:lvlJc w:val="left"/>
      <w:pPr>
        <w:ind w:left="5760" w:hanging="360"/>
      </w:pPr>
      <w:rPr>
        <w:rFonts w:ascii="Courier New" w:hAnsi="Courier New" w:cs="Arial" w:hint="default"/>
      </w:rPr>
    </w:lvl>
    <w:lvl w:ilvl="8" w:tplc="96968E92" w:tentative="1">
      <w:start w:val="1"/>
      <w:numFmt w:val="bullet"/>
      <w:lvlText w:val=""/>
      <w:lvlJc w:val="left"/>
      <w:pPr>
        <w:ind w:left="6480" w:hanging="360"/>
      </w:pPr>
      <w:rPr>
        <w:rFonts w:ascii="Wingdings" w:hAnsi="Wingdings" w:hint="default"/>
      </w:rPr>
    </w:lvl>
  </w:abstractNum>
  <w:abstractNum w:abstractNumId="3">
    <w:nsid w:val="6E2D7839"/>
    <w:multiLevelType w:val="hybridMultilevel"/>
    <w:tmpl w:val="2954BE88"/>
    <w:lvl w:ilvl="0" w:tplc="CE0C2E32">
      <w:start w:val="1"/>
      <w:numFmt w:val="bullet"/>
      <w:lvlText w:val=""/>
      <w:lvlJc w:val="left"/>
      <w:pPr>
        <w:ind w:left="408" w:hanging="360"/>
      </w:pPr>
      <w:rPr>
        <w:rFonts w:ascii="Symbol" w:hAnsi="Symbol" w:hint="default"/>
      </w:rPr>
    </w:lvl>
    <w:lvl w:ilvl="1" w:tplc="802A4822" w:tentative="1">
      <w:start w:val="1"/>
      <w:numFmt w:val="bullet"/>
      <w:lvlText w:val="o"/>
      <w:lvlJc w:val="left"/>
      <w:pPr>
        <w:ind w:left="1128" w:hanging="360"/>
      </w:pPr>
      <w:rPr>
        <w:rFonts w:ascii="Courier New" w:hAnsi="Courier New" w:cs="Arial" w:hint="default"/>
      </w:rPr>
    </w:lvl>
    <w:lvl w:ilvl="2" w:tplc="C7721320" w:tentative="1">
      <w:start w:val="1"/>
      <w:numFmt w:val="bullet"/>
      <w:lvlText w:val=""/>
      <w:lvlJc w:val="left"/>
      <w:pPr>
        <w:ind w:left="1848" w:hanging="360"/>
      </w:pPr>
      <w:rPr>
        <w:rFonts w:ascii="Wingdings" w:hAnsi="Wingdings" w:hint="default"/>
      </w:rPr>
    </w:lvl>
    <w:lvl w:ilvl="3" w:tplc="F57AD1F0" w:tentative="1">
      <w:start w:val="1"/>
      <w:numFmt w:val="bullet"/>
      <w:lvlText w:val=""/>
      <w:lvlJc w:val="left"/>
      <w:pPr>
        <w:ind w:left="2568" w:hanging="360"/>
      </w:pPr>
      <w:rPr>
        <w:rFonts w:ascii="Symbol" w:hAnsi="Symbol" w:hint="default"/>
      </w:rPr>
    </w:lvl>
    <w:lvl w:ilvl="4" w:tplc="882800B2" w:tentative="1">
      <w:start w:val="1"/>
      <w:numFmt w:val="bullet"/>
      <w:lvlText w:val="o"/>
      <w:lvlJc w:val="left"/>
      <w:pPr>
        <w:ind w:left="3288" w:hanging="360"/>
      </w:pPr>
      <w:rPr>
        <w:rFonts w:ascii="Courier New" w:hAnsi="Courier New" w:cs="Arial" w:hint="default"/>
      </w:rPr>
    </w:lvl>
    <w:lvl w:ilvl="5" w:tplc="17AECAA0" w:tentative="1">
      <w:start w:val="1"/>
      <w:numFmt w:val="bullet"/>
      <w:lvlText w:val=""/>
      <w:lvlJc w:val="left"/>
      <w:pPr>
        <w:ind w:left="4008" w:hanging="360"/>
      </w:pPr>
      <w:rPr>
        <w:rFonts w:ascii="Wingdings" w:hAnsi="Wingdings" w:hint="default"/>
      </w:rPr>
    </w:lvl>
    <w:lvl w:ilvl="6" w:tplc="F89C1EC2" w:tentative="1">
      <w:start w:val="1"/>
      <w:numFmt w:val="bullet"/>
      <w:lvlText w:val=""/>
      <w:lvlJc w:val="left"/>
      <w:pPr>
        <w:ind w:left="4728" w:hanging="360"/>
      </w:pPr>
      <w:rPr>
        <w:rFonts w:ascii="Symbol" w:hAnsi="Symbol" w:hint="default"/>
      </w:rPr>
    </w:lvl>
    <w:lvl w:ilvl="7" w:tplc="80524B48" w:tentative="1">
      <w:start w:val="1"/>
      <w:numFmt w:val="bullet"/>
      <w:lvlText w:val="o"/>
      <w:lvlJc w:val="left"/>
      <w:pPr>
        <w:ind w:left="5448" w:hanging="360"/>
      </w:pPr>
      <w:rPr>
        <w:rFonts w:ascii="Courier New" w:hAnsi="Courier New" w:cs="Arial" w:hint="default"/>
      </w:rPr>
    </w:lvl>
    <w:lvl w:ilvl="8" w:tplc="586828F0" w:tentative="1">
      <w:start w:val="1"/>
      <w:numFmt w:val="bullet"/>
      <w:lvlText w:val=""/>
      <w:lvlJc w:val="left"/>
      <w:pPr>
        <w:ind w:left="6168" w:hanging="360"/>
      </w:pPr>
      <w:rPr>
        <w:rFonts w:ascii="Wingdings" w:hAnsi="Wingdings" w:hint="default"/>
      </w:rPr>
    </w:lvl>
  </w:abstractNum>
  <w:abstractNum w:abstractNumId="4">
    <w:nsid w:val="727B34F7"/>
    <w:multiLevelType w:val="hybridMultilevel"/>
    <w:tmpl w:val="B1C43CCE"/>
    <w:lvl w:ilvl="0" w:tplc="06CC2F5A">
      <w:numFmt w:val="bullet"/>
      <w:lvlText w:val="-"/>
      <w:lvlJc w:val="left"/>
      <w:pPr>
        <w:ind w:left="720" w:hanging="360"/>
      </w:pPr>
      <w:rPr>
        <w:rFonts w:ascii="Calibri" w:eastAsia="MS Mincho" w:hAnsi="Calibri" w:cs="Consolas" w:hint="default"/>
      </w:rPr>
    </w:lvl>
    <w:lvl w:ilvl="1" w:tplc="EA52CD90" w:tentative="1">
      <w:start w:val="1"/>
      <w:numFmt w:val="bullet"/>
      <w:lvlText w:val="o"/>
      <w:lvlJc w:val="left"/>
      <w:pPr>
        <w:ind w:left="1440" w:hanging="360"/>
      </w:pPr>
      <w:rPr>
        <w:rFonts w:ascii="Courier New" w:hAnsi="Courier New" w:cs="Arial" w:hint="default"/>
      </w:rPr>
    </w:lvl>
    <w:lvl w:ilvl="2" w:tplc="9A4868A2" w:tentative="1">
      <w:start w:val="1"/>
      <w:numFmt w:val="bullet"/>
      <w:lvlText w:val=""/>
      <w:lvlJc w:val="left"/>
      <w:pPr>
        <w:ind w:left="2160" w:hanging="360"/>
      </w:pPr>
      <w:rPr>
        <w:rFonts w:ascii="Wingdings" w:hAnsi="Wingdings" w:hint="default"/>
      </w:rPr>
    </w:lvl>
    <w:lvl w:ilvl="3" w:tplc="739809F2" w:tentative="1">
      <w:start w:val="1"/>
      <w:numFmt w:val="bullet"/>
      <w:lvlText w:val=""/>
      <w:lvlJc w:val="left"/>
      <w:pPr>
        <w:ind w:left="2880" w:hanging="360"/>
      </w:pPr>
      <w:rPr>
        <w:rFonts w:ascii="Symbol" w:hAnsi="Symbol" w:hint="default"/>
      </w:rPr>
    </w:lvl>
    <w:lvl w:ilvl="4" w:tplc="ED628E80" w:tentative="1">
      <w:start w:val="1"/>
      <w:numFmt w:val="bullet"/>
      <w:lvlText w:val="o"/>
      <w:lvlJc w:val="left"/>
      <w:pPr>
        <w:ind w:left="3600" w:hanging="360"/>
      </w:pPr>
      <w:rPr>
        <w:rFonts w:ascii="Courier New" w:hAnsi="Courier New" w:cs="Arial" w:hint="default"/>
      </w:rPr>
    </w:lvl>
    <w:lvl w:ilvl="5" w:tplc="4EAA6032" w:tentative="1">
      <w:start w:val="1"/>
      <w:numFmt w:val="bullet"/>
      <w:lvlText w:val=""/>
      <w:lvlJc w:val="left"/>
      <w:pPr>
        <w:ind w:left="4320" w:hanging="360"/>
      </w:pPr>
      <w:rPr>
        <w:rFonts w:ascii="Wingdings" w:hAnsi="Wingdings" w:hint="default"/>
      </w:rPr>
    </w:lvl>
    <w:lvl w:ilvl="6" w:tplc="D716EDB4" w:tentative="1">
      <w:start w:val="1"/>
      <w:numFmt w:val="bullet"/>
      <w:lvlText w:val=""/>
      <w:lvlJc w:val="left"/>
      <w:pPr>
        <w:ind w:left="5040" w:hanging="360"/>
      </w:pPr>
      <w:rPr>
        <w:rFonts w:ascii="Symbol" w:hAnsi="Symbol" w:hint="default"/>
      </w:rPr>
    </w:lvl>
    <w:lvl w:ilvl="7" w:tplc="9DC2B178" w:tentative="1">
      <w:start w:val="1"/>
      <w:numFmt w:val="bullet"/>
      <w:lvlText w:val="o"/>
      <w:lvlJc w:val="left"/>
      <w:pPr>
        <w:ind w:left="5760" w:hanging="360"/>
      </w:pPr>
      <w:rPr>
        <w:rFonts w:ascii="Courier New" w:hAnsi="Courier New" w:cs="Arial" w:hint="default"/>
      </w:rPr>
    </w:lvl>
    <w:lvl w:ilvl="8" w:tplc="ED66F880"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EC"/>
    <w:rsid w:val="002829EC"/>
    <w:rsid w:val="00356B0C"/>
    <w:rsid w:val="00434804"/>
    <w:rsid w:val="00664A0F"/>
    <w:rsid w:val="007900BB"/>
    <w:rsid w:val="00895B4D"/>
    <w:rsid w:val="008E041F"/>
    <w:rsid w:val="008E794E"/>
    <w:rsid w:val="009407DC"/>
    <w:rsid w:val="00A744F7"/>
    <w:rsid w:val="00AA0AA1"/>
    <w:rsid w:val="00AC5333"/>
    <w:rsid w:val="00B4592E"/>
    <w:rsid w:val="00CA6B5C"/>
  </w:rsids>
  <m:mathPr>
    <m:mathFont m:val="Cambria Math"/>
    <m:brkBin m:val="before"/>
    <m:brkBinSub m:val="--"/>
    <m:smallFrac/>
    <m:dispDef/>
    <m:lMargin m:val="0"/>
    <m:rMargin m:val="0"/>
    <m:defJc m:val="centerGroup"/>
    <m:wrapIndent m:val="1440"/>
    <m:intLim m:val="subSup"/>
    <m:naryLim m:val="undOvr"/>
  </m:mathPr>
  <w:themeFontLang w:val="en-IN"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zh-CN" w:bidi="ar-SA"/>
      </w:rPr>
    </w:rPrDefault>
    <w:pPrDefault/>
  </w:docDefaults>
  <w:latentStyles w:defLockedState="0" w:defUIPriority="0" w:defSemiHidden="0" w:defUnhideWhenUsed="0" w:defQFormat="0" w:count="382">
    <w:lsdException w:name="heading 1" w:uiPriority="9" w:qFormat="1"/>
    <w:lsdException w:name="heading 2" w:uiPriority="9"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53BE"/>
    <w:rPr>
      <w:rFonts w:ascii="Times New Roman" w:eastAsia="MS Mincho" w:hAnsi="Times New Roman" w:cs="Times New Roman"/>
      <w:sz w:val="24"/>
      <w:szCs w:val="24"/>
      <w:lang w:eastAsia="en-US"/>
    </w:rPr>
  </w:style>
  <w:style w:type="paragraph" w:styleId="Heading1">
    <w:name w:val="heading 1"/>
    <w:basedOn w:val="Normal"/>
    <w:link w:val="Heading1Char"/>
    <w:uiPriority w:val="9"/>
    <w:qFormat/>
    <w:rsid w:val="00C506DB"/>
    <w:pPr>
      <w:spacing w:before="100" w:beforeAutospacing="1" w:after="100" w:afterAutospacing="1"/>
      <w:outlineLvl w:val="0"/>
    </w:pPr>
    <w:rPr>
      <w:rFonts w:eastAsia="Calibri"/>
      <w:b/>
      <w:bCs/>
      <w:kern w:val="36"/>
      <w:sz w:val="48"/>
      <w:szCs w:val="48"/>
    </w:rPr>
  </w:style>
  <w:style w:type="paragraph" w:styleId="Heading2">
    <w:name w:val="heading 2"/>
    <w:basedOn w:val="Normal"/>
    <w:link w:val="Heading2Char"/>
    <w:uiPriority w:val="9"/>
    <w:qFormat/>
    <w:rsid w:val="00C506DB"/>
    <w:pPr>
      <w:spacing w:before="100" w:beforeAutospacing="1" w:after="100" w:afterAutospacing="1"/>
      <w:outlineLvl w:val="1"/>
    </w:pPr>
    <w:rPr>
      <w:rFonts w:eastAsia="Calibri"/>
      <w:b/>
      <w:bCs/>
      <w:sz w:val="36"/>
      <w:szCs w:val="36"/>
    </w:rPr>
  </w:style>
  <w:style w:type="paragraph" w:styleId="Heading3">
    <w:name w:val="heading 3"/>
    <w:basedOn w:val="Normal"/>
    <w:link w:val="Heading3Char"/>
    <w:uiPriority w:val="9"/>
    <w:qFormat/>
    <w:rsid w:val="00C506DB"/>
    <w:pPr>
      <w:spacing w:before="100" w:beforeAutospacing="1" w:after="100" w:afterAutospacing="1"/>
      <w:outlineLvl w:val="2"/>
    </w:pPr>
    <w:rPr>
      <w:rFonts w:eastAsia="Calibri"/>
      <w:b/>
      <w:bCs/>
      <w:sz w:val="27"/>
      <w:szCs w:val="27"/>
    </w:rPr>
  </w:style>
  <w:style w:type="paragraph" w:styleId="Heading4">
    <w:name w:val="heading 4"/>
    <w:basedOn w:val="Normal"/>
    <w:next w:val="Normal"/>
    <w:link w:val="Heading4Char"/>
    <w:rsid w:val="00C221F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C221F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C221F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C221F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C221F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scNormal">
    <w:name w:val="amsc_Normal"/>
    <w:uiPriority w:val="99"/>
    <w:rsid w:val="00290F9E"/>
    <w:pPr>
      <w:suppressAutoHyphens/>
    </w:pPr>
    <w:rPr>
      <w:color w:val="50646E"/>
      <w:spacing w:val="-6"/>
      <w:kern w:val="10"/>
      <w:sz w:val="20"/>
      <w:lang w:eastAsia="en-US"/>
    </w:rPr>
  </w:style>
  <w:style w:type="paragraph" w:styleId="Header">
    <w:name w:val="header"/>
    <w:basedOn w:val="Normal"/>
    <w:link w:val="HeaderChar"/>
    <w:uiPriority w:val="99"/>
    <w:semiHidden/>
    <w:rsid w:val="003E5B0F"/>
    <w:pPr>
      <w:tabs>
        <w:tab w:val="center" w:pos="4513"/>
        <w:tab w:val="right" w:pos="9026"/>
      </w:tabs>
    </w:pPr>
    <w:rPr>
      <w:rFonts w:ascii="Calibri" w:eastAsia="Calibri" w:hAnsi="Calibri" w:cs="Arial"/>
      <w:sz w:val="22"/>
      <w:szCs w:val="22"/>
      <w:lang w:val="en-GB"/>
    </w:rPr>
  </w:style>
  <w:style w:type="character" w:customStyle="1" w:styleId="HeaderChar">
    <w:name w:val="Header Char"/>
    <w:basedOn w:val="DefaultParagraphFont"/>
    <w:link w:val="Header"/>
    <w:uiPriority w:val="99"/>
    <w:locked/>
    <w:rsid w:val="003E5B0F"/>
    <w:rPr>
      <w:rFonts w:cs="Times New Roman"/>
    </w:rPr>
  </w:style>
  <w:style w:type="paragraph" w:styleId="Footer">
    <w:name w:val="footer"/>
    <w:basedOn w:val="Normal"/>
    <w:link w:val="FooterChar"/>
    <w:uiPriority w:val="99"/>
    <w:semiHidden/>
    <w:rsid w:val="003E5B0F"/>
    <w:pPr>
      <w:tabs>
        <w:tab w:val="center" w:pos="4513"/>
        <w:tab w:val="right" w:pos="9026"/>
      </w:tabs>
    </w:pPr>
    <w:rPr>
      <w:rFonts w:ascii="Calibri" w:eastAsia="Calibri" w:hAnsi="Calibri" w:cs="Arial"/>
      <w:sz w:val="22"/>
      <w:szCs w:val="22"/>
      <w:lang w:val="en-GB"/>
    </w:rPr>
  </w:style>
  <w:style w:type="character" w:customStyle="1" w:styleId="FooterChar">
    <w:name w:val="Footer Char"/>
    <w:basedOn w:val="DefaultParagraphFont"/>
    <w:link w:val="Footer"/>
    <w:uiPriority w:val="99"/>
    <w:locked/>
    <w:rsid w:val="003E5B0F"/>
    <w:rPr>
      <w:rFonts w:cs="Times New Roman"/>
    </w:rPr>
  </w:style>
  <w:style w:type="paragraph" w:styleId="BalloonText">
    <w:name w:val="Balloon Text"/>
    <w:basedOn w:val="Normal"/>
    <w:link w:val="BalloonTextChar"/>
    <w:uiPriority w:val="99"/>
    <w:semiHidden/>
    <w:rsid w:val="003E5B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B0F"/>
    <w:rPr>
      <w:rFonts w:ascii="Tahoma" w:hAnsi="Tahoma" w:cs="Tahoma"/>
      <w:sz w:val="16"/>
      <w:szCs w:val="16"/>
    </w:rPr>
  </w:style>
  <w:style w:type="paragraph" w:customStyle="1" w:styleId="amscBusinessDetails">
    <w:name w:val="amsc_Business Details"/>
    <w:basedOn w:val="amscNormal"/>
    <w:uiPriority w:val="99"/>
    <w:rsid w:val="001B3E58"/>
    <w:pPr>
      <w:spacing w:line="200" w:lineRule="exact"/>
    </w:pPr>
    <w:rPr>
      <w:color w:val="8C9DAA"/>
      <w:sz w:val="18"/>
    </w:rPr>
  </w:style>
  <w:style w:type="table" w:styleId="TableGrid">
    <w:name w:val="Table Grid"/>
    <w:basedOn w:val="TableNormal"/>
    <w:uiPriority w:val="99"/>
    <w:rsid w:val="00372D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72D4F"/>
    <w:rPr>
      <w:rFonts w:cs="Times New Roman"/>
      <w:color w:val="0000FF"/>
      <w:u w:val="single"/>
    </w:rPr>
  </w:style>
  <w:style w:type="paragraph" w:customStyle="1" w:styleId="amscBankDetails">
    <w:name w:val="amsc_Bank Details"/>
    <w:basedOn w:val="amscBusinessDetails"/>
    <w:uiPriority w:val="99"/>
    <w:rsid w:val="00290F9E"/>
    <w:pPr>
      <w:spacing w:line="160" w:lineRule="exact"/>
    </w:pPr>
    <w:rPr>
      <w:sz w:val="14"/>
    </w:rPr>
  </w:style>
  <w:style w:type="paragraph" w:customStyle="1" w:styleId="amscPRHeading">
    <w:name w:val="amsc_PR Heading"/>
    <w:basedOn w:val="amscNormal"/>
    <w:uiPriority w:val="99"/>
    <w:rsid w:val="00457259"/>
    <w:pPr>
      <w:spacing w:line="720" w:lineRule="exact"/>
    </w:pPr>
    <w:rPr>
      <w:color w:val="00A0E3"/>
      <w:spacing w:val="-22"/>
      <w:sz w:val="80"/>
    </w:rPr>
  </w:style>
  <w:style w:type="paragraph" w:customStyle="1" w:styleId="amscPRSubhead">
    <w:name w:val="amsc_PR Subhead"/>
    <w:basedOn w:val="amscPRHeading"/>
    <w:uiPriority w:val="99"/>
    <w:rsid w:val="00FC3D45"/>
    <w:pPr>
      <w:spacing w:before="240" w:after="560" w:line="400" w:lineRule="exact"/>
    </w:pPr>
    <w:rPr>
      <w:color w:val="8C9DAA"/>
      <w:spacing w:val="-6"/>
      <w:sz w:val="40"/>
    </w:rPr>
  </w:style>
  <w:style w:type="paragraph" w:customStyle="1" w:styleId="amscPRIntroductoryText">
    <w:name w:val="amsc_PR Introductory Text"/>
    <w:basedOn w:val="amscPRSubhead"/>
    <w:uiPriority w:val="99"/>
    <w:rsid w:val="00127AA5"/>
    <w:pPr>
      <w:spacing w:before="0" w:after="320" w:line="440" w:lineRule="exact"/>
    </w:pPr>
    <w:rPr>
      <w:color w:val="50646E"/>
      <w:spacing w:val="-8"/>
      <w:sz w:val="36"/>
    </w:rPr>
  </w:style>
  <w:style w:type="paragraph" w:styleId="BodyText2">
    <w:name w:val="Body Text 2"/>
    <w:basedOn w:val="Normal"/>
    <w:link w:val="BodyText2Char"/>
    <w:uiPriority w:val="99"/>
    <w:rsid w:val="00AF53BE"/>
    <w:pPr>
      <w:spacing w:after="120" w:line="480" w:lineRule="auto"/>
    </w:pPr>
    <w:rPr>
      <w:rFonts w:eastAsia="Times New Roman"/>
    </w:rPr>
  </w:style>
  <w:style w:type="character" w:customStyle="1" w:styleId="BodyText2Char">
    <w:name w:val="Body Text 2 Char"/>
    <w:basedOn w:val="DefaultParagraphFont"/>
    <w:link w:val="BodyText2"/>
    <w:uiPriority w:val="99"/>
    <w:locked/>
    <w:rsid w:val="00AF53BE"/>
    <w:rPr>
      <w:rFonts w:ascii="Times New Roman" w:hAnsi="Times New Roman" w:cs="Times New Roman"/>
      <w:sz w:val="24"/>
      <w:szCs w:val="24"/>
    </w:rPr>
  </w:style>
  <w:style w:type="paragraph" w:styleId="NormalWeb">
    <w:name w:val="Normal (Web)"/>
    <w:basedOn w:val="Normal"/>
    <w:uiPriority w:val="99"/>
    <w:rsid w:val="001505A8"/>
    <w:pPr>
      <w:spacing w:before="100" w:beforeAutospacing="1" w:after="100" w:afterAutospacing="1"/>
    </w:pPr>
  </w:style>
  <w:style w:type="paragraph" w:styleId="ListParagraph">
    <w:name w:val="List Paragraph"/>
    <w:basedOn w:val="Normal"/>
    <w:uiPriority w:val="34"/>
    <w:qFormat/>
    <w:rsid w:val="00E607A8"/>
    <w:pPr>
      <w:ind w:left="720"/>
      <w:contextualSpacing/>
    </w:pPr>
  </w:style>
  <w:style w:type="character" w:styleId="CommentReference">
    <w:name w:val="annotation reference"/>
    <w:basedOn w:val="DefaultParagraphFont"/>
    <w:uiPriority w:val="99"/>
    <w:semiHidden/>
    <w:unhideWhenUsed/>
    <w:rsid w:val="00D5748A"/>
    <w:rPr>
      <w:sz w:val="16"/>
      <w:szCs w:val="16"/>
    </w:rPr>
  </w:style>
  <w:style w:type="paragraph" w:styleId="CommentText">
    <w:name w:val="annotation text"/>
    <w:basedOn w:val="Normal"/>
    <w:link w:val="CommentTextChar"/>
    <w:uiPriority w:val="99"/>
    <w:semiHidden/>
    <w:unhideWhenUsed/>
    <w:rsid w:val="00D5748A"/>
    <w:rPr>
      <w:sz w:val="20"/>
      <w:szCs w:val="20"/>
    </w:rPr>
  </w:style>
  <w:style w:type="character" w:customStyle="1" w:styleId="CommentTextChar">
    <w:name w:val="Comment Text Char"/>
    <w:basedOn w:val="DefaultParagraphFont"/>
    <w:link w:val="CommentText"/>
    <w:uiPriority w:val="99"/>
    <w:semiHidden/>
    <w:rsid w:val="00D5748A"/>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748A"/>
    <w:rPr>
      <w:b/>
      <w:bCs/>
    </w:rPr>
  </w:style>
  <w:style w:type="character" w:customStyle="1" w:styleId="CommentSubjectChar">
    <w:name w:val="Comment Subject Char"/>
    <w:basedOn w:val="CommentTextChar"/>
    <w:link w:val="CommentSubject"/>
    <w:uiPriority w:val="99"/>
    <w:semiHidden/>
    <w:rsid w:val="00D5748A"/>
    <w:rPr>
      <w:rFonts w:ascii="Times New Roman" w:eastAsia="MS Mincho" w:hAnsi="Times New Roman" w:cs="Times New Roman"/>
      <w:b/>
      <w:bCs/>
      <w:sz w:val="20"/>
      <w:szCs w:val="20"/>
      <w:lang w:eastAsia="en-US"/>
    </w:rPr>
  </w:style>
  <w:style w:type="character" w:styleId="FollowedHyperlink">
    <w:name w:val="FollowedHyperlink"/>
    <w:basedOn w:val="DefaultParagraphFont"/>
    <w:uiPriority w:val="99"/>
    <w:semiHidden/>
    <w:unhideWhenUsed/>
    <w:rsid w:val="008A649E"/>
    <w:rPr>
      <w:color w:val="800080" w:themeColor="followedHyperlink"/>
      <w:u w:val="single"/>
    </w:rPr>
  </w:style>
  <w:style w:type="character" w:customStyle="1" w:styleId="apple-converted-space">
    <w:name w:val="apple-converted-space"/>
    <w:basedOn w:val="DefaultParagraphFont"/>
    <w:rsid w:val="004C6814"/>
  </w:style>
  <w:style w:type="paragraph" w:styleId="MacroText">
    <w:name w:val="macro"/>
    <w:link w:val="MacroTextChar"/>
    <w:uiPriority w:val="99"/>
    <w:semiHidden/>
    <w:unhideWhenUsed/>
    <w:rsid w:val="00180101"/>
    <w:pPr>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cs="Consolas"/>
      <w:sz w:val="20"/>
      <w:szCs w:val="20"/>
      <w:lang w:eastAsia="en-US"/>
    </w:rPr>
  </w:style>
  <w:style w:type="character" w:customStyle="1" w:styleId="MacroTextChar">
    <w:name w:val="Macro Text Char"/>
    <w:basedOn w:val="DefaultParagraphFont"/>
    <w:link w:val="MacroText"/>
    <w:uiPriority w:val="99"/>
    <w:semiHidden/>
    <w:rsid w:val="00180101"/>
    <w:rPr>
      <w:rFonts w:ascii="Consolas" w:eastAsia="MS Mincho" w:hAnsi="Consolas" w:cs="Consolas"/>
      <w:sz w:val="20"/>
      <w:szCs w:val="20"/>
      <w:lang w:eastAsia="en-US"/>
    </w:rPr>
  </w:style>
  <w:style w:type="paragraph" w:customStyle="1" w:styleId="Default">
    <w:name w:val="Default"/>
    <w:rsid w:val="00FE0A46"/>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D41CBF"/>
    <w:rPr>
      <w:i/>
      <w:iCs/>
    </w:rPr>
  </w:style>
  <w:style w:type="character" w:customStyle="1" w:styleId="Heading1Char">
    <w:name w:val="Heading 1 Char"/>
    <w:basedOn w:val="DefaultParagraphFont"/>
    <w:link w:val="Heading1"/>
    <w:uiPriority w:val="9"/>
    <w:rsid w:val="00C506DB"/>
    <w:rPr>
      <w:rFonts w:ascii="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C506DB"/>
    <w:rPr>
      <w:rFonts w:ascii="Times New Roman" w:hAnsi="Times New Roman" w:cs="Times New Roman"/>
      <w:b/>
      <w:bCs/>
      <w:sz w:val="36"/>
      <w:szCs w:val="36"/>
      <w:lang w:eastAsia="en-US"/>
    </w:rPr>
  </w:style>
  <w:style w:type="character" w:customStyle="1" w:styleId="Heading3Char">
    <w:name w:val="Heading 3 Char"/>
    <w:basedOn w:val="DefaultParagraphFont"/>
    <w:link w:val="Heading3"/>
    <w:uiPriority w:val="9"/>
    <w:rsid w:val="00C506DB"/>
    <w:rPr>
      <w:rFonts w:ascii="Times New Roman" w:hAnsi="Times New Roman" w:cs="Times New Roman"/>
      <w:b/>
      <w:bCs/>
      <w:sz w:val="27"/>
      <w:szCs w:val="27"/>
      <w:lang w:eastAsia="en-US"/>
    </w:rPr>
  </w:style>
  <w:style w:type="character" w:styleId="HTMLCite">
    <w:name w:val="HTML Cite"/>
    <w:basedOn w:val="DefaultParagraphFont"/>
    <w:uiPriority w:val="99"/>
    <w:semiHidden/>
    <w:unhideWhenUsed/>
    <w:rsid w:val="00C506DB"/>
    <w:rPr>
      <w:i/>
      <w:iCs/>
    </w:rPr>
  </w:style>
  <w:style w:type="character" w:styleId="Strong">
    <w:name w:val="Strong"/>
    <w:basedOn w:val="DefaultParagraphFont"/>
    <w:uiPriority w:val="22"/>
    <w:qFormat/>
    <w:rsid w:val="00C506DB"/>
    <w:rPr>
      <w:b/>
      <w:bCs/>
    </w:rPr>
  </w:style>
  <w:style w:type="character" w:customStyle="1" w:styleId="ad-cell">
    <w:name w:val="ad-cell"/>
    <w:basedOn w:val="DefaultParagraphFont"/>
    <w:rsid w:val="00C506DB"/>
  </w:style>
  <w:style w:type="character" w:customStyle="1" w:styleId="ad-line">
    <w:name w:val="ad-line"/>
    <w:basedOn w:val="DefaultParagraphFont"/>
    <w:rsid w:val="00C506DB"/>
  </w:style>
  <w:style w:type="character" w:customStyle="1" w:styleId="caption1">
    <w:name w:val="caption1"/>
    <w:basedOn w:val="DefaultParagraphFont"/>
    <w:rsid w:val="0035788B"/>
  </w:style>
  <w:style w:type="paragraph" w:styleId="HTMLPreformatted">
    <w:name w:val="HTML Preformatted"/>
    <w:basedOn w:val="Normal"/>
    <w:link w:val="HTMLPreformattedChar"/>
    <w:uiPriority w:val="99"/>
    <w:rsid w:val="00A1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rsid w:val="00A12FA0"/>
    <w:rPr>
      <w:rFonts w:ascii="Courier" w:hAnsi="Courier" w:cs="Courier"/>
      <w:sz w:val="20"/>
      <w:szCs w:val="20"/>
      <w:lang w:eastAsia="en-US"/>
    </w:rPr>
  </w:style>
  <w:style w:type="paragraph" w:customStyle="1" w:styleId="p1">
    <w:name w:val="p1"/>
    <w:basedOn w:val="Normal"/>
    <w:rsid w:val="003963E2"/>
    <w:rPr>
      <w:rFonts w:ascii="Helvetica" w:eastAsia="Calibri" w:hAnsi="Helvetica"/>
      <w:sz w:val="18"/>
      <w:szCs w:val="18"/>
    </w:rPr>
  </w:style>
  <w:style w:type="character" w:customStyle="1" w:styleId="s1">
    <w:name w:val="s1"/>
    <w:basedOn w:val="DefaultParagraphFont"/>
    <w:rsid w:val="003963E2"/>
  </w:style>
  <w:style w:type="paragraph" w:styleId="Revision">
    <w:name w:val="Revision"/>
    <w:hidden/>
    <w:semiHidden/>
    <w:rsid w:val="00C77005"/>
    <w:rPr>
      <w:rFonts w:ascii="Times New Roman" w:eastAsia="MS Mincho" w:hAnsi="Times New Roman" w:cs="Times New Roman"/>
      <w:sz w:val="24"/>
      <w:szCs w:val="24"/>
      <w:lang w:eastAsia="en-US"/>
    </w:rPr>
  </w:style>
  <w:style w:type="character" w:customStyle="1" w:styleId="Heading4Char">
    <w:name w:val="Heading 4 Char"/>
    <w:basedOn w:val="DefaultParagraphFont"/>
    <w:link w:val="Heading4"/>
    <w:rsid w:val="00C221F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C221F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C221F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C221F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C221F5"/>
    <w:rPr>
      <w:rFonts w:asciiTheme="majorHAnsi" w:eastAsiaTheme="majorEastAsia" w:hAnsiTheme="majorHAnsi" w:cstheme="majorBidi"/>
      <w:color w:val="404040" w:themeColor="text1" w:themeTint="BF"/>
      <w:sz w:val="20"/>
      <w:szCs w:val="20"/>
      <w:lang w:eastAsia="en-US"/>
    </w:rPr>
  </w:style>
  <w:style w:type="paragraph" w:styleId="Quote">
    <w:name w:val="Quote"/>
    <w:basedOn w:val="Normal"/>
    <w:next w:val="Normal"/>
    <w:link w:val="QuoteChar"/>
    <w:rsid w:val="00C221F5"/>
    <w:rPr>
      <w:i/>
      <w:iCs/>
      <w:color w:val="000000" w:themeColor="text1"/>
    </w:rPr>
  </w:style>
  <w:style w:type="character" w:customStyle="1" w:styleId="QuoteChar">
    <w:name w:val="Quote Char"/>
    <w:basedOn w:val="DefaultParagraphFont"/>
    <w:link w:val="Quote"/>
    <w:rsid w:val="00C221F5"/>
    <w:rPr>
      <w:rFonts w:ascii="Times New Roman" w:eastAsia="MS Mincho" w:hAnsi="Times New Roman" w:cs="Times New Roman"/>
      <w:i/>
      <w:iCs/>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1901-01-01T04:00:00Z</cp:lastPrinted>
  <dcterms:created xsi:type="dcterms:W3CDTF">2017-04-26T14:01:00Z</dcterms:created>
  <dcterms:modified xsi:type="dcterms:W3CDTF">2017-04-26T14:01:00Z</dcterms:modified>
</cp:coreProperties>
</file>