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2DA5C" w14:textId="72BD249A" w:rsidR="00247F2F" w:rsidRPr="00791BF0" w:rsidRDefault="00247F2F" w:rsidP="00247F2F">
      <w:pPr>
        <w:pStyle w:val="BodyText"/>
        <w:rPr>
          <w:b w:val="0"/>
          <w:spacing w:val="160"/>
          <w:position w:val="24"/>
          <w:sz w:val="40"/>
          <w:lang w:val="fr-CA"/>
        </w:rPr>
      </w:pPr>
      <w:r w:rsidRPr="00791BF0">
        <w:rPr>
          <w:rFonts w:cs="Arial"/>
          <w:b w:val="0"/>
          <w:bCs/>
          <w:noProof/>
          <w:kern w:val="36"/>
          <w:sz w:val="20"/>
        </w:rPr>
        <w:drawing>
          <wp:inline distT="0" distB="0" distL="0" distR="0" wp14:anchorId="55C7BC89" wp14:editId="6A98BF70">
            <wp:extent cx="1684020"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GF_EN_FIRE_CHARCOA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9994" cy="678674"/>
                    </a:xfrm>
                    <a:prstGeom prst="rect">
                      <a:avLst/>
                    </a:prstGeom>
                  </pic:spPr>
                </pic:pic>
              </a:graphicData>
            </a:graphic>
          </wp:inline>
        </w:drawing>
      </w:r>
      <w:r w:rsidRPr="00791BF0">
        <w:rPr>
          <w:b w:val="0"/>
          <w:color w:val="7F7F7F" w:themeColor="text1" w:themeTint="80"/>
          <w:spacing w:val="200"/>
          <w:sz w:val="40"/>
          <w:lang w:val="fr-CA"/>
        </w:rPr>
        <w:t xml:space="preserve"> </w:t>
      </w:r>
      <w:r w:rsidR="00FF3BF7" w:rsidRPr="00791BF0">
        <w:rPr>
          <w:b w:val="0"/>
          <w:spacing w:val="160"/>
          <w:position w:val="28"/>
          <w:sz w:val="40"/>
          <w:lang w:val="fr-CA"/>
        </w:rPr>
        <w:t>COMMUNIQUÉ</w:t>
      </w:r>
    </w:p>
    <w:p w14:paraId="543FC5D3" w14:textId="77777777" w:rsidR="00247F2F" w:rsidRPr="00791BF0" w:rsidRDefault="00247F2F" w:rsidP="00247F2F">
      <w:pPr>
        <w:pStyle w:val="NoSpacing"/>
        <w:rPr>
          <w:rFonts w:ascii="Arial" w:hAnsi="Arial" w:cs="Arial"/>
          <w:b/>
          <w:sz w:val="20"/>
          <w:szCs w:val="20"/>
          <w:lang w:val="fr-CA"/>
        </w:rPr>
      </w:pPr>
    </w:p>
    <w:p w14:paraId="2D9517A7" w14:textId="77777777" w:rsidR="00247F2F" w:rsidRPr="00791BF0" w:rsidRDefault="00247F2F" w:rsidP="00247F2F">
      <w:pPr>
        <w:pStyle w:val="NoSpacing"/>
        <w:rPr>
          <w:rFonts w:ascii="Arial" w:hAnsi="Arial" w:cs="Arial"/>
          <w:b/>
          <w:sz w:val="20"/>
          <w:szCs w:val="20"/>
          <w:lang w:val="fr-CA"/>
        </w:rPr>
      </w:pPr>
    </w:p>
    <w:p w14:paraId="4BB94001" w14:textId="73DB6FA0" w:rsidR="00247F2F" w:rsidRPr="00791BF0" w:rsidRDefault="00247F2F" w:rsidP="00247F2F">
      <w:pPr>
        <w:pStyle w:val="NoSpacing"/>
        <w:jc w:val="center"/>
        <w:rPr>
          <w:rFonts w:ascii="Arial" w:hAnsi="Arial" w:cs="Arial"/>
          <w:b/>
          <w:sz w:val="20"/>
          <w:szCs w:val="20"/>
          <w:lang w:val="fr-CA"/>
        </w:rPr>
      </w:pPr>
      <w:r w:rsidRPr="00791BF0">
        <w:rPr>
          <w:rFonts w:ascii="Arial" w:hAnsi="Arial" w:cs="Arial"/>
          <w:b/>
          <w:sz w:val="20"/>
          <w:szCs w:val="20"/>
          <w:lang w:val="fr-CA"/>
        </w:rPr>
        <w:t xml:space="preserve">AGF </w:t>
      </w:r>
      <w:r w:rsidR="00791BF0" w:rsidRPr="00791BF0">
        <w:rPr>
          <w:rFonts w:ascii="Arial" w:hAnsi="Arial" w:cs="Arial"/>
          <w:b/>
          <w:sz w:val="20"/>
          <w:szCs w:val="20"/>
          <w:lang w:val="fr-CA"/>
        </w:rPr>
        <w:t xml:space="preserve">annonce </w:t>
      </w:r>
      <w:r w:rsidR="000302B9">
        <w:rPr>
          <w:rFonts w:ascii="Arial" w:hAnsi="Arial" w:cs="Arial"/>
          <w:b/>
          <w:sz w:val="20"/>
          <w:szCs w:val="20"/>
          <w:lang w:val="fr-CA"/>
        </w:rPr>
        <w:t xml:space="preserve">des </w:t>
      </w:r>
      <w:r w:rsidR="00791BF0" w:rsidRPr="00791BF0">
        <w:rPr>
          <w:rFonts w:ascii="Arial" w:hAnsi="Arial" w:cs="Arial"/>
          <w:b/>
          <w:sz w:val="20"/>
          <w:szCs w:val="20"/>
          <w:lang w:val="fr-CA"/>
        </w:rPr>
        <w:t xml:space="preserve">changements </w:t>
      </w:r>
      <w:r w:rsidR="000302B9">
        <w:rPr>
          <w:rFonts w:ascii="Arial" w:hAnsi="Arial" w:cs="Arial"/>
          <w:b/>
          <w:sz w:val="20"/>
          <w:szCs w:val="20"/>
          <w:lang w:val="fr-CA"/>
        </w:rPr>
        <w:t xml:space="preserve">visant à </w:t>
      </w:r>
      <w:r w:rsidR="00791BF0" w:rsidRPr="00791BF0">
        <w:rPr>
          <w:rFonts w:ascii="Arial" w:hAnsi="Arial" w:cs="Arial"/>
          <w:b/>
          <w:sz w:val="20"/>
          <w:szCs w:val="20"/>
          <w:lang w:val="fr-CA"/>
        </w:rPr>
        <w:t>améliorer</w:t>
      </w:r>
      <w:r w:rsidR="000302B9">
        <w:rPr>
          <w:rFonts w:ascii="Arial" w:hAnsi="Arial" w:cs="Arial"/>
          <w:b/>
          <w:sz w:val="20"/>
          <w:szCs w:val="20"/>
          <w:lang w:val="fr-CA"/>
        </w:rPr>
        <w:t xml:space="preserve"> ses</w:t>
      </w:r>
      <w:r w:rsidR="00791BF0" w:rsidRPr="00791BF0">
        <w:rPr>
          <w:rFonts w:ascii="Arial" w:hAnsi="Arial" w:cs="Arial"/>
          <w:b/>
          <w:sz w:val="20"/>
          <w:szCs w:val="20"/>
          <w:lang w:val="fr-CA"/>
        </w:rPr>
        <w:t xml:space="preserve"> gamme</w:t>
      </w:r>
      <w:r w:rsidR="000302B9">
        <w:rPr>
          <w:rFonts w:ascii="Arial" w:hAnsi="Arial" w:cs="Arial"/>
          <w:b/>
          <w:sz w:val="20"/>
          <w:szCs w:val="20"/>
          <w:lang w:val="fr-CA"/>
        </w:rPr>
        <w:t>s de produits</w:t>
      </w:r>
    </w:p>
    <w:p w14:paraId="6E43EAA2" w14:textId="399AD79B" w:rsidR="00791BF0" w:rsidRPr="00791BF0" w:rsidRDefault="00791BF0" w:rsidP="00247F2F">
      <w:pPr>
        <w:pStyle w:val="NoSpacing"/>
        <w:jc w:val="center"/>
        <w:rPr>
          <w:rFonts w:ascii="Arial" w:hAnsi="Arial" w:cs="Arial"/>
          <w:i/>
          <w:sz w:val="20"/>
          <w:szCs w:val="20"/>
          <w:highlight w:val="yellow"/>
          <w:lang w:val="fr-CA"/>
        </w:rPr>
      </w:pPr>
      <w:r w:rsidRPr="00791BF0">
        <w:rPr>
          <w:rFonts w:ascii="Arial" w:hAnsi="Arial" w:cs="Arial"/>
          <w:i/>
          <w:sz w:val="20"/>
          <w:szCs w:val="20"/>
          <w:lang w:val="fr-CA"/>
        </w:rPr>
        <w:t>Il s’agit notamment de réductions de frais</w:t>
      </w:r>
      <w:r>
        <w:rPr>
          <w:rFonts w:ascii="Arial" w:hAnsi="Arial" w:cs="Arial"/>
          <w:i/>
          <w:sz w:val="20"/>
          <w:szCs w:val="20"/>
          <w:lang w:val="fr-CA"/>
        </w:rPr>
        <w:t xml:space="preserve"> de gestion</w:t>
      </w:r>
      <w:r w:rsidRPr="00791BF0">
        <w:rPr>
          <w:rFonts w:ascii="Arial" w:hAnsi="Arial" w:cs="Arial"/>
          <w:i/>
          <w:sz w:val="20"/>
          <w:szCs w:val="20"/>
          <w:lang w:val="fr-CA"/>
        </w:rPr>
        <w:t xml:space="preserve">, </w:t>
      </w:r>
      <w:r w:rsidR="00620B6D">
        <w:rPr>
          <w:rFonts w:ascii="Arial" w:hAnsi="Arial" w:cs="Arial"/>
          <w:i/>
          <w:sz w:val="20"/>
          <w:szCs w:val="20"/>
          <w:lang w:val="fr-CA"/>
        </w:rPr>
        <w:t xml:space="preserve">d’un changement concernant l’un des </w:t>
      </w:r>
      <w:r>
        <w:rPr>
          <w:rFonts w:ascii="Arial" w:hAnsi="Arial" w:cs="Arial"/>
          <w:i/>
          <w:sz w:val="20"/>
          <w:szCs w:val="20"/>
          <w:lang w:val="fr-CA"/>
        </w:rPr>
        <w:t>gestionnaire</w:t>
      </w:r>
      <w:r w:rsidR="00620B6D">
        <w:rPr>
          <w:rFonts w:ascii="Arial" w:hAnsi="Arial" w:cs="Arial"/>
          <w:i/>
          <w:sz w:val="20"/>
          <w:szCs w:val="20"/>
          <w:lang w:val="fr-CA"/>
        </w:rPr>
        <w:t>s</w:t>
      </w:r>
      <w:r>
        <w:rPr>
          <w:rFonts w:ascii="Arial" w:hAnsi="Arial" w:cs="Arial"/>
          <w:i/>
          <w:sz w:val="20"/>
          <w:szCs w:val="20"/>
          <w:lang w:val="fr-CA"/>
        </w:rPr>
        <w:t xml:space="preserve"> de portefeuille et </w:t>
      </w:r>
      <w:r w:rsidRPr="00791BF0">
        <w:rPr>
          <w:rFonts w:ascii="Arial" w:hAnsi="Arial" w:cs="Arial"/>
          <w:i/>
          <w:sz w:val="20"/>
          <w:szCs w:val="20"/>
          <w:lang w:val="fr-CA"/>
        </w:rPr>
        <w:t>de mo</w:t>
      </w:r>
      <w:r>
        <w:rPr>
          <w:rFonts w:ascii="Arial" w:hAnsi="Arial" w:cs="Arial"/>
          <w:i/>
          <w:sz w:val="20"/>
          <w:szCs w:val="20"/>
          <w:lang w:val="fr-CA"/>
        </w:rPr>
        <w:t>difications aux cotes de risque.</w:t>
      </w:r>
    </w:p>
    <w:p w14:paraId="1CD93424" w14:textId="6E18C8BD" w:rsidR="00247F2F" w:rsidRPr="00791BF0" w:rsidRDefault="00247F2F" w:rsidP="00791BF0">
      <w:pPr>
        <w:pStyle w:val="NoSpacing"/>
        <w:rPr>
          <w:rFonts w:ascii="Arial" w:hAnsi="Arial" w:cs="Arial"/>
          <w:i/>
          <w:sz w:val="20"/>
          <w:szCs w:val="20"/>
          <w:lang w:val="fr-CA"/>
        </w:rPr>
      </w:pPr>
    </w:p>
    <w:p w14:paraId="53B21162" w14:textId="77777777" w:rsidR="00247F2F" w:rsidRPr="00791BF0" w:rsidRDefault="00247F2F" w:rsidP="00247F2F">
      <w:pPr>
        <w:pStyle w:val="NoSpacing"/>
        <w:rPr>
          <w:rFonts w:ascii="Arial" w:hAnsi="Arial" w:cs="Arial"/>
          <w:b/>
          <w:sz w:val="20"/>
          <w:szCs w:val="20"/>
          <w:lang w:val="fr-CA"/>
        </w:rPr>
      </w:pPr>
    </w:p>
    <w:p w14:paraId="7151C14D" w14:textId="64F63869" w:rsidR="00247F2F" w:rsidRPr="00791BF0" w:rsidRDefault="00247F2F" w:rsidP="00247F2F">
      <w:pPr>
        <w:pStyle w:val="NoSpacing"/>
        <w:rPr>
          <w:rFonts w:ascii="Arial" w:hAnsi="Arial" w:cs="Arial"/>
          <w:b/>
          <w:sz w:val="20"/>
          <w:szCs w:val="20"/>
          <w:lang w:val="fr-CA"/>
        </w:rPr>
      </w:pPr>
      <w:r w:rsidRPr="00791BF0">
        <w:rPr>
          <w:rFonts w:ascii="Arial" w:hAnsi="Arial" w:cs="Arial"/>
          <w:b/>
          <w:sz w:val="20"/>
          <w:szCs w:val="20"/>
          <w:lang w:val="fr-CA"/>
        </w:rPr>
        <w:t xml:space="preserve">Toronto, </w:t>
      </w:r>
      <w:r w:rsidR="00FF3BF7" w:rsidRPr="00791BF0">
        <w:rPr>
          <w:rFonts w:ascii="Arial" w:hAnsi="Arial" w:cs="Arial"/>
          <w:b/>
          <w:sz w:val="20"/>
          <w:szCs w:val="20"/>
          <w:lang w:val="fr-CA"/>
        </w:rPr>
        <w:t xml:space="preserve">le </w:t>
      </w:r>
      <w:r w:rsidRPr="00791BF0">
        <w:rPr>
          <w:rFonts w:ascii="Arial" w:hAnsi="Arial" w:cs="Arial"/>
          <w:b/>
          <w:sz w:val="20"/>
          <w:szCs w:val="20"/>
          <w:lang w:val="fr-CA"/>
        </w:rPr>
        <w:t>11</w:t>
      </w:r>
      <w:r w:rsidR="00FF3BF7" w:rsidRPr="00791BF0">
        <w:rPr>
          <w:rFonts w:ascii="Arial" w:hAnsi="Arial" w:cs="Arial"/>
          <w:b/>
          <w:sz w:val="20"/>
          <w:szCs w:val="20"/>
          <w:lang w:val="fr-CA"/>
        </w:rPr>
        <w:t xml:space="preserve"> décembre </w:t>
      </w:r>
      <w:r w:rsidRPr="00791BF0">
        <w:rPr>
          <w:rFonts w:ascii="Arial" w:hAnsi="Arial" w:cs="Arial"/>
          <w:b/>
          <w:sz w:val="20"/>
          <w:szCs w:val="20"/>
          <w:lang w:val="fr-CA"/>
        </w:rPr>
        <w:t xml:space="preserve">2017 </w:t>
      </w:r>
    </w:p>
    <w:p w14:paraId="6871ABF8" w14:textId="77777777" w:rsidR="00247F2F" w:rsidRPr="00791BF0" w:rsidRDefault="00247F2F" w:rsidP="00247F2F">
      <w:pPr>
        <w:pStyle w:val="NoSpacing"/>
        <w:rPr>
          <w:rFonts w:ascii="Arial" w:hAnsi="Arial" w:cs="Arial"/>
          <w:b/>
          <w:sz w:val="20"/>
          <w:szCs w:val="20"/>
          <w:lang w:val="fr-CA"/>
        </w:rPr>
      </w:pPr>
    </w:p>
    <w:p w14:paraId="54DF0FC6" w14:textId="01EBE248" w:rsidR="00FF3BF7" w:rsidRPr="00791BF0" w:rsidRDefault="00FF3BF7" w:rsidP="00247F2F">
      <w:pPr>
        <w:pStyle w:val="NoSpacing"/>
        <w:rPr>
          <w:rFonts w:ascii="Arial" w:hAnsi="Arial" w:cs="Arial"/>
          <w:sz w:val="20"/>
          <w:szCs w:val="20"/>
          <w:lang w:val="fr-CA"/>
        </w:rPr>
      </w:pPr>
      <w:r w:rsidRPr="00791BF0">
        <w:rPr>
          <w:rFonts w:ascii="Arial" w:hAnsi="Arial" w:cs="Arial"/>
          <w:sz w:val="20"/>
          <w:szCs w:val="20"/>
          <w:lang w:val="fr-CA"/>
        </w:rPr>
        <w:t xml:space="preserve">Placements AGF Inc. (AGF) a annoncé aujourd’hui </w:t>
      </w:r>
      <w:r w:rsidR="00E4714C" w:rsidRPr="00791BF0">
        <w:rPr>
          <w:rFonts w:ascii="Arial" w:hAnsi="Arial" w:cs="Arial"/>
          <w:sz w:val="20"/>
          <w:szCs w:val="20"/>
          <w:lang w:val="fr-CA"/>
        </w:rPr>
        <w:t xml:space="preserve">des </w:t>
      </w:r>
      <w:r w:rsidRPr="00791BF0">
        <w:rPr>
          <w:rFonts w:ascii="Arial" w:hAnsi="Arial" w:cs="Arial"/>
          <w:sz w:val="20"/>
          <w:szCs w:val="20"/>
          <w:lang w:val="fr-CA"/>
        </w:rPr>
        <w:t xml:space="preserve">changements </w:t>
      </w:r>
      <w:r w:rsidR="000302B9">
        <w:rPr>
          <w:rFonts w:ascii="Arial" w:hAnsi="Arial" w:cs="Arial"/>
          <w:sz w:val="20"/>
          <w:szCs w:val="20"/>
          <w:lang w:val="fr-CA"/>
        </w:rPr>
        <w:t xml:space="preserve">visant à améliorer ses </w:t>
      </w:r>
      <w:r w:rsidRPr="00791BF0">
        <w:rPr>
          <w:rFonts w:ascii="Arial" w:hAnsi="Arial" w:cs="Arial"/>
          <w:sz w:val="20"/>
          <w:szCs w:val="20"/>
          <w:lang w:val="fr-CA"/>
        </w:rPr>
        <w:t>gamme</w:t>
      </w:r>
      <w:r w:rsidR="000302B9">
        <w:rPr>
          <w:rFonts w:ascii="Arial" w:hAnsi="Arial" w:cs="Arial"/>
          <w:sz w:val="20"/>
          <w:szCs w:val="20"/>
          <w:lang w:val="fr-CA"/>
        </w:rPr>
        <w:t>s de produits</w:t>
      </w:r>
      <w:r w:rsidRPr="00791BF0">
        <w:rPr>
          <w:rFonts w:ascii="Arial" w:hAnsi="Arial" w:cs="Arial"/>
          <w:sz w:val="20"/>
          <w:szCs w:val="20"/>
          <w:lang w:val="fr-CA"/>
        </w:rPr>
        <w:t>.</w:t>
      </w:r>
    </w:p>
    <w:p w14:paraId="6BDF32D1" w14:textId="41EC93E4" w:rsidR="00247F2F" w:rsidRPr="00791BF0" w:rsidRDefault="00247F2F" w:rsidP="00247F2F">
      <w:pPr>
        <w:pStyle w:val="NoSpacing"/>
        <w:rPr>
          <w:rFonts w:ascii="Arial" w:hAnsi="Arial" w:cs="Arial"/>
          <w:sz w:val="20"/>
          <w:szCs w:val="20"/>
          <w:lang w:val="fr-CA"/>
        </w:rPr>
      </w:pPr>
    </w:p>
    <w:p w14:paraId="6CAD6114" w14:textId="35F0A357" w:rsidR="00247F2F" w:rsidRPr="00791BF0" w:rsidRDefault="00E4714C" w:rsidP="00247F2F">
      <w:pPr>
        <w:pStyle w:val="NoSpacing"/>
        <w:rPr>
          <w:rFonts w:ascii="Arial" w:hAnsi="Arial" w:cs="Arial"/>
          <w:sz w:val="20"/>
          <w:szCs w:val="20"/>
          <w:lang w:val="fr-CA"/>
        </w:rPr>
      </w:pPr>
      <w:r w:rsidRPr="00791BF0">
        <w:rPr>
          <w:rFonts w:ascii="Arial" w:hAnsi="Arial" w:cs="Arial"/>
          <w:sz w:val="20"/>
          <w:szCs w:val="20"/>
          <w:lang w:val="fr-CA"/>
        </w:rPr>
        <w:t>« À AGF,</w:t>
      </w:r>
      <w:r w:rsidR="000302B9">
        <w:rPr>
          <w:rFonts w:ascii="Arial" w:hAnsi="Arial" w:cs="Arial"/>
          <w:sz w:val="20"/>
          <w:szCs w:val="20"/>
          <w:lang w:val="fr-CA"/>
        </w:rPr>
        <w:t xml:space="preserve"> nous revoyons constamment nos</w:t>
      </w:r>
      <w:r w:rsidRPr="00791BF0">
        <w:rPr>
          <w:rFonts w:ascii="Arial" w:hAnsi="Arial" w:cs="Arial"/>
          <w:sz w:val="20"/>
          <w:szCs w:val="20"/>
          <w:lang w:val="fr-CA"/>
        </w:rPr>
        <w:t xml:space="preserve"> gamme</w:t>
      </w:r>
      <w:r w:rsidR="000302B9">
        <w:rPr>
          <w:rFonts w:ascii="Arial" w:hAnsi="Arial" w:cs="Arial"/>
          <w:sz w:val="20"/>
          <w:szCs w:val="20"/>
          <w:lang w:val="fr-CA"/>
        </w:rPr>
        <w:t>s</w:t>
      </w:r>
      <w:r w:rsidRPr="00791BF0">
        <w:rPr>
          <w:rFonts w:ascii="Arial" w:hAnsi="Arial" w:cs="Arial"/>
          <w:sz w:val="20"/>
          <w:szCs w:val="20"/>
          <w:lang w:val="fr-CA"/>
        </w:rPr>
        <w:t xml:space="preserve"> afin de veiller à offrir des prix concurrentiels, tout en répondant aux besoins de nos clients en matière de produits », a déclaré Florence Narine, vice-présidente principale, Produits, Placements AGF Inc.</w:t>
      </w:r>
    </w:p>
    <w:p w14:paraId="52721E7F" w14:textId="723F609A" w:rsidR="00247F2F" w:rsidRPr="00791BF0" w:rsidRDefault="00247F2F" w:rsidP="00247F2F">
      <w:pPr>
        <w:rPr>
          <w:rFonts w:ascii="Arial" w:hAnsi="Arial" w:cs="Arial"/>
          <w:sz w:val="20"/>
          <w:szCs w:val="20"/>
          <w:lang w:val="fr-CA"/>
        </w:rPr>
      </w:pPr>
    </w:p>
    <w:p w14:paraId="7F08CD11" w14:textId="262F2A15" w:rsidR="00247F2F" w:rsidRPr="00791BF0" w:rsidRDefault="00E4714C" w:rsidP="00247F2F">
      <w:pPr>
        <w:rPr>
          <w:rFonts w:ascii="Arial" w:hAnsi="Arial" w:cs="Arial"/>
          <w:sz w:val="20"/>
          <w:szCs w:val="20"/>
          <w:lang w:val="fr-CA"/>
        </w:rPr>
      </w:pPr>
      <w:r w:rsidRPr="00791BF0">
        <w:rPr>
          <w:rFonts w:ascii="Arial" w:hAnsi="Arial" w:cs="Arial"/>
          <w:sz w:val="20"/>
          <w:szCs w:val="20"/>
          <w:lang w:val="fr-CA"/>
        </w:rPr>
        <w:t>Il s’agit de réductions de frais, de mo</w:t>
      </w:r>
      <w:r w:rsidR="002B0716" w:rsidRPr="00791BF0">
        <w:rPr>
          <w:rFonts w:ascii="Arial" w:hAnsi="Arial" w:cs="Arial"/>
          <w:sz w:val="20"/>
          <w:szCs w:val="20"/>
          <w:lang w:val="fr-CA"/>
        </w:rPr>
        <w:t>difications aux cotes de risque</w:t>
      </w:r>
      <w:r w:rsidRPr="00791BF0">
        <w:rPr>
          <w:rFonts w:ascii="Arial" w:hAnsi="Arial" w:cs="Arial"/>
          <w:sz w:val="20"/>
          <w:szCs w:val="20"/>
          <w:lang w:val="fr-CA"/>
        </w:rPr>
        <w:t xml:space="preserve">, du lancement </w:t>
      </w:r>
      <w:r w:rsidR="009771A8" w:rsidRPr="00791BF0">
        <w:rPr>
          <w:rFonts w:ascii="Arial" w:hAnsi="Arial" w:cs="Arial"/>
          <w:sz w:val="20"/>
          <w:szCs w:val="20"/>
          <w:lang w:val="fr-CA"/>
        </w:rPr>
        <w:t xml:space="preserve">d’une nouvelle série </w:t>
      </w:r>
      <w:r w:rsidRPr="00791BF0">
        <w:rPr>
          <w:rFonts w:ascii="Arial" w:hAnsi="Arial" w:cs="Arial"/>
          <w:sz w:val="20"/>
          <w:szCs w:val="20"/>
          <w:lang w:val="fr-CA"/>
        </w:rPr>
        <w:t>et d’un changement concernant l’un des gestionnaires de portefeuille</w:t>
      </w:r>
      <w:r w:rsidR="005E54BA" w:rsidRPr="00791BF0">
        <w:rPr>
          <w:rFonts w:ascii="Arial" w:hAnsi="Arial" w:cs="Arial"/>
          <w:sz w:val="20"/>
          <w:szCs w:val="20"/>
          <w:lang w:val="fr-CA"/>
        </w:rPr>
        <w:t>.</w:t>
      </w:r>
    </w:p>
    <w:p w14:paraId="0FB00AB4" w14:textId="46D4BC7B" w:rsidR="00247F2F" w:rsidRPr="00791BF0" w:rsidRDefault="005E54BA" w:rsidP="00247F2F">
      <w:pPr>
        <w:pStyle w:val="NoSpacing"/>
        <w:rPr>
          <w:rFonts w:ascii="Arial" w:hAnsi="Arial" w:cs="Arial"/>
          <w:b/>
          <w:sz w:val="20"/>
          <w:szCs w:val="20"/>
          <w:lang w:val="fr-CA"/>
        </w:rPr>
      </w:pPr>
      <w:r w:rsidRPr="00791BF0">
        <w:rPr>
          <w:rFonts w:ascii="Arial" w:hAnsi="Arial" w:cs="Arial"/>
          <w:b/>
          <w:sz w:val="20"/>
          <w:szCs w:val="20"/>
          <w:lang w:val="fr-CA"/>
        </w:rPr>
        <w:t>Réduction de frais de gestion</w:t>
      </w:r>
      <w:r w:rsidR="00247F2F" w:rsidRPr="00791BF0">
        <w:rPr>
          <w:rFonts w:ascii="Arial" w:hAnsi="Arial" w:cs="Arial"/>
          <w:b/>
          <w:sz w:val="20"/>
          <w:szCs w:val="20"/>
          <w:lang w:val="fr-CA"/>
        </w:rPr>
        <w:t xml:space="preserve"> </w:t>
      </w:r>
    </w:p>
    <w:p w14:paraId="6F9742E0" w14:textId="77777777" w:rsidR="00247F2F" w:rsidRPr="00791BF0" w:rsidRDefault="00247F2F" w:rsidP="00247F2F">
      <w:pPr>
        <w:pStyle w:val="NoSpacing"/>
        <w:rPr>
          <w:rFonts w:ascii="Arial" w:hAnsi="Arial" w:cs="Arial"/>
          <w:b/>
          <w:sz w:val="20"/>
          <w:szCs w:val="20"/>
          <w:lang w:val="fr-CA"/>
        </w:rPr>
      </w:pPr>
    </w:p>
    <w:p w14:paraId="18ED8104" w14:textId="00A404F8" w:rsidR="00247F2F" w:rsidRPr="00791BF0" w:rsidRDefault="00D149EE" w:rsidP="00247F2F">
      <w:pPr>
        <w:rPr>
          <w:rFonts w:ascii="Arial" w:hAnsi="Arial" w:cs="Arial"/>
          <w:bCs/>
          <w:sz w:val="20"/>
          <w:szCs w:val="20"/>
          <w:lang w:val="fr-CA"/>
        </w:rPr>
      </w:pPr>
      <w:r w:rsidRPr="00791BF0">
        <w:rPr>
          <w:rFonts w:ascii="Arial" w:hAnsi="Arial" w:cs="Arial"/>
          <w:bCs/>
          <w:sz w:val="20"/>
          <w:szCs w:val="20"/>
          <w:lang w:val="fr-CA"/>
        </w:rPr>
        <w:t>AGF est déterminée à offrir aux investisseurs des produits performants, moyennant des prix concurrentiels. Par conséquent, la société a décidé de modifier le</w:t>
      </w:r>
      <w:r w:rsidR="000302B9">
        <w:rPr>
          <w:rFonts w:ascii="Arial" w:hAnsi="Arial" w:cs="Arial"/>
          <w:bCs/>
          <w:sz w:val="20"/>
          <w:szCs w:val="20"/>
          <w:lang w:val="fr-CA"/>
        </w:rPr>
        <w:t>s frais de gestion au sein de ses</w:t>
      </w:r>
      <w:r w:rsidRPr="00791BF0">
        <w:rPr>
          <w:rFonts w:ascii="Arial" w:hAnsi="Arial" w:cs="Arial"/>
          <w:bCs/>
          <w:sz w:val="20"/>
          <w:szCs w:val="20"/>
          <w:lang w:val="fr-CA"/>
        </w:rPr>
        <w:t xml:space="preserve"> gamme</w:t>
      </w:r>
      <w:r w:rsidR="000302B9">
        <w:rPr>
          <w:rFonts w:ascii="Arial" w:hAnsi="Arial" w:cs="Arial"/>
          <w:bCs/>
          <w:sz w:val="20"/>
          <w:szCs w:val="20"/>
          <w:lang w:val="fr-CA"/>
        </w:rPr>
        <w:t>s</w:t>
      </w:r>
      <w:r w:rsidRPr="00791BF0">
        <w:rPr>
          <w:rFonts w:ascii="Arial" w:hAnsi="Arial" w:cs="Arial"/>
          <w:bCs/>
          <w:sz w:val="20"/>
          <w:szCs w:val="20"/>
          <w:lang w:val="fr-CA"/>
        </w:rPr>
        <w:t xml:space="preserve">. </w:t>
      </w:r>
    </w:p>
    <w:p w14:paraId="6A7B30D2" w14:textId="61000293" w:rsidR="00247F2F" w:rsidRPr="00791BF0" w:rsidRDefault="00D149EE" w:rsidP="00247F2F">
      <w:pPr>
        <w:rPr>
          <w:rFonts w:ascii="Arial" w:hAnsi="Arial" w:cs="Arial"/>
          <w:sz w:val="20"/>
          <w:szCs w:val="20"/>
          <w:lang w:val="fr-CA"/>
        </w:rPr>
      </w:pPr>
      <w:r w:rsidRPr="00791BF0">
        <w:rPr>
          <w:rFonts w:ascii="Arial" w:hAnsi="Arial" w:cs="Arial"/>
          <w:sz w:val="20"/>
          <w:szCs w:val="20"/>
          <w:lang w:val="fr-CA"/>
        </w:rPr>
        <w:t xml:space="preserve">À compter du 11 décembre 2017, nous réduirons les frais de gestion de 23 fonds AGF. Ces </w:t>
      </w:r>
      <w:r w:rsidR="000302B9">
        <w:rPr>
          <w:rFonts w:ascii="Arial" w:hAnsi="Arial" w:cs="Arial"/>
          <w:sz w:val="20"/>
          <w:szCs w:val="20"/>
          <w:lang w:val="fr-CA"/>
        </w:rPr>
        <w:t>réductions</w:t>
      </w:r>
      <w:r w:rsidRPr="00791BF0">
        <w:rPr>
          <w:rFonts w:ascii="Arial" w:hAnsi="Arial" w:cs="Arial"/>
          <w:sz w:val="20"/>
          <w:szCs w:val="20"/>
          <w:lang w:val="fr-CA"/>
        </w:rPr>
        <w:t xml:space="preserve">, </w:t>
      </w:r>
      <w:r w:rsidR="000302B9">
        <w:rPr>
          <w:rFonts w:ascii="Arial" w:hAnsi="Arial" w:cs="Arial"/>
          <w:sz w:val="20"/>
          <w:szCs w:val="20"/>
          <w:lang w:val="fr-CA"/>
        </w:rPr>
        <w:t xml:space="preserve">de </w:t>
      </w:r>
      <w:r w:rsidRPr="00791BF0">
        <w:rPr>
          <w:rFonts w:ascii="Arial" w:hAnsi="Arial" w:cs="Arial"/>
          <w:sz w:val="20"/>
          <w:szCs w:val="20"/>
          <w:lang w:val="fr-CA"/>
        </w:rPr>
        <w:t xml:space="preserve">5 </w:t>
      </w:r>
      <w:r w:rsidR="000302B9">
        <w:rPr>
          <w:rFonts w:ascii="Arial" w:hAnsi="Arial" w:cs="Arial"/>
          <w:sz w:val="20"/>
          <w:szCs w:val="20"/>
          <w:lang w:val="fr-CA"/>
        </w:rPr>
        <w:t>à</w:t>
      </w:r>
      <w:r w:rsidR="00D63CFE" w:rsidRPr="00791BF0">
        <w:rPr>
          <w:rFonts w:ascii="Arial" w:hAnsi="Arial" w:cs="Arial"/>
          <w:sz w:val="20"/>
          <w:szCs w:val="20"/>
          <w:lang w:val="fr-CA"/>
        </w:rPr>
        <w:t xml:space="preserve"> 35 points de base, concerneront les séries OPC et F du Fonds Sélect mondial AGF</w:t>
      </w:r>
      <w:r w:rsidR="000302B9">
        <w:rPr>
          <w:rFonts w:ascii="Arial" w:hAnsi="Arial" w:cs="Arial"/>
          <w:sz w:val="20"/>
          <w:szCs w:val="20"/>
          <w:lang w:val="fr-CA"/>
        </w:rPr>
        <w:t>,</w:t>
      </w:r>
      <w:r w:rsidR="00D63CFE" w:rsidRPr="00791BF0">
        <w:rPr>
          <w:rFonts w:ascii="Arial" w:hAnsi="Arial" w:cs="Arial"/>
          <w:sz w:val="20"/>
          <w:szCs w:val="20"/>
          <w:lang w:val="fr-CA"/>
        </w:rPr>
        <w:t xml:space="preserve"> du Fonds d’obl</w:t>
      </w:r>
      <w:r w:rsidR="000302B9">
        <w:rPr>
          <w:rFonts w:ascii="Arial" w:hAnsi="Arial" w:cs="Arial"/>
          <w:sz w:val="20"/>
          <w:szCs w:val="20"/>
          <w:lang w:val="fr-CA"/>
        </w:rPr>
        <w:t xml:space="preserve">igations à rendement global AGF, de </w:t>
      </w:r>
      <w:r w:rsidR="00D63CFE" w:rsidRPr="00791BF0">
        <w:rPr>
          <w:rFonts w:ascii="Arial" w:hAnsi="Arial" w:cs="Arial"/>
          <w:sz w:val="20"/>
          <w:szCs w:val="20"/>
          <w:lang w:val="fr-CA"/>
        </w:rPr>
        <w:t>la Catégorie</w:t>
      </w:r>
      <w:r w:rsidR="000302B9">
        <w:rPr>
          <w:rFonts w:ascii="Arial" w:hAnsi="Arial" w:cs="Arial"/>
          <w:sz w:val="20"/>
          <w:szCs w:val="20"/>
          <w:lang w:val="fr-CA"/>
        </w:rPr>
        <w:t xml:space="preserve"> Obligations à rendement global AGF</w:t>
      </w:r>
      <w:r w:rsidR="00D63CFE" w:rsidRPr="00791BF0">
        <w:rPr>
          <w:rFonts w:ascii="Arial" w:hAnsi="Arial" w:cs="Arial"/>
          <w:sz w:val="20"/>
          <w:szCs w:val="20"/>
          <w:lang w:val="fr-CA"/>
        </w:rPr>
        <w:t>,</w:t>
      </w:r>
      <w:r w:rsidR="000302B9">
        <w:rPr>
          <w:rFonts w:ascii="Arial" w:hAnsi="Arial" w:cs="Arial"/>
          <w:sz w:val="20"/>
          <w:szCs w:val="20"/>
          <w:lang w:val="fr-CA"/>
        </w:rPr>
        <w:t xml:space="preserve"> de la Catégorie Secteurs américains AGF,</w:t>
      </w:r>
      <w:r w:rsidR="00D63CFE" w:rsidRPr="00791BF0">
        <w:rPr>
          <w:rFonts w:ascii="Arial" w:hAnsi="Arial" w:cs="Arial"/>
          <w:sz w:val="20"/>
          <w:szCs w:val="20"/>
          <w:lang w:val="fr-CA"/>
        </w:rPr>
        <w:t xml:space="preserve"> de même que certains fonds de nos séries destinées aux particuliers bien nantis (</w:t>
      </w:r>
      <w:r w:rsidR="000302B9">
        <w:rPr>
          <w:rFonts w:ascii="Arial" w:hAnsi="Arial" w:cs="Arial"/>
          <w:sz w:val="20"/>
          <w:szCs w:val="20"/>
          <w:lang w:val="fr-CA"/>
        </w:rPr>
        <w:t xml:space="preserve">séries Q ou W), y compris toutes nos solutions </w:t>
      </w:r>
      <w:r w:rsidR="00D63CFE" w:rsidRPr="00791BF0">
        <w:rPr>
          <w:rFonts w:ascii="Arial" w:hAnsi="Arial" w:cs="Arial"/>
          <w:sz w:val="20"/>
          <w:szCs w:val="20"/>
          <w:lang w:val="fr-CA"/>
        </w:rPr>
        <w:t xml:space="preserve">Éléments AGF. </w:t>
      </w:r>
    </w:p>
    <w:p w14:paraId="130CD53D" w14:textId="77777777" w:rsidR="00247F2F" w:rsidRPr="00791BF0" w:rsidRDefault="00247F2F" w:rsidP="00247F2F">
      <w:pPr>
        <w:pStyle w:val="ListParagraph"/>
        <w:rPr>
          <w:rFonts w:ascii="Arial" w:hAnsi="Arial" w:cs="Arial"/>
          <w:sz w:val="20"/>
          <w:szCs w:val="20"/>
          <w:lang w:val="fr-CA"/>
        </w:rPr>
      </w:pPr>
    </w:p>
    <w:tbl>
      <w:tblPr>
        <w:tblpPr w:leftFromText="180" w:rightFromText="180" w:vertAnchor="text" w:tblpX="-303"/>
        <w:tblW w:w="8573" w:type="dxa"/>
        <w:shd w:val="clear" w:color="auto" w:fill="FFFFFF"/>
        <w:tblCellMar>
          <w:left w:w="0" w:type="dxa"/>
          <w:right w:w="0" w:type="dxa"/>
        </w:tblCellMar>
        <w:tblLook w:val="04A0" w:firstRow="1" w:lastRow="0" w:firstColumn="1" w:lastColumn="0" w:noHBand="0" w:noVBand="1"/>
      </w:tblPr>
      <w:tblGrid>
        <w:gridCol w:w="4673"/>
        <w:gridCol w:w="1820"/>
        <w:gridCol w:w="2080"/>
      </w:tblGrid>
      <w:tr w:rsidR="00247F2F" w:rsidRPr="00791BF0" w14:paraId="56B099BB" w14:textId="77777777" w:rsidTr="00DE0F72">
        <w:trPr>
          <w:trHeight w:val="255"/>
        </w:trPr>
        <w:tc>
          <w:tcPr>
            <w:tcW w:w="4673" w:type="dxa"/>
            <w:tcBorders>
              <w:top w:val="single" w:sz="8" w:space="0" w:color="auto"/>
              <w:left w:val="single" w:sz="8" w:space="0" w:color="auto"/>
              <w:bottom w:val="single" w:sz="8" w:space="0" w:color="auto"/>
              <w:right w:val="single" w:sz="8" w:space="0" w:color="auto"/>
            </w:tcBorders>
            <w:shd w:val="clear" w:color="auto" w:fill="ED5A36"/>
            <w:noWrap/>
            <w:tcMar>
              <w:top w:w="0" w:type="dxa"/>
              <w:left w:w="108" w:type="dxa"/>
              <w:bottom w:w="0" w:type="dxa"/>
              <w:right w:w="108" w:type="dxa"/>
            </w:tcMar>
            <w:vAlign w:val="center"/>
            <w:hideMark/>
          </w:tcPr>
          <w:p w14:paraId="6E5D3CAE" w14:textId="66FE55C0" w:rsidR="00247F2F" w:rsidRPr="00791BF0" w:rsidRDefault="0084339F" w:rsidP="00DE0F72">
            <w:pPr>
              <w:pStyle w:val="xmsonormal"/>
              <w:spacing w:before="0" w:beforeAutospacing="0" w:after="0" w:afterAutospacing="0" w:line="252" w:lineRule="auto"/>
              <w:rPr>
                <w:color w:val="212121"/>
                <w:lang w:val="fr-CA"/>
              </w:rPr>
            </w:pPr>
            <w:r w:rsidRPr="00791BF0">
              <w:rPr>
                <w:rFonts w:ascii="Arial" w:hAnsi="Arial" w:cs="Arial"/>
                <w:b/>
                <w:bCs/>
                <w:color w:val="FFFFFF"/>
                <w:sz w:val="20"/>
                <w:szCs w:val="20"/>
                <w:lang w:val="fr-CA"/>
              </w:rPr>
              <w:t>Fonds</w:t>
            </w:r>
          </w:p>
        </w:tc>
        <w:tc>
          <w:tcPr>
            <w:tcW w:w="1820" w:type="dxa"/>
            <w:tcBorders>
              <w:top w:val="single" w:sz="8" w:space="0" w:color="auto"/>
              <w:left w:val="nil"/>
              <w:bottom w:val="single" w:sz="8" w:space="0" w:color="auto"/>
              <w:right w:val="single" w:sz="8" w:space="0" w:color="auto"/>
            </w:tcBorders>
            <w:shd w:val="clear" w:color="auto" w:fill="ED5A36"/>
            <w:noWrap/>
            <w:tcMar>
              <w:top w:w="0" w:type="dxa"/>
              <w:left w:w="108" w:type="dxa"/>
              <w:bottom w:w="0" w:type="dxa"/>
              <w:right w:w="108" w:type="dxa"/>
            </w:tcMar>
            <w:vAlign w:val="center"/>
            <w:hideMark/>
          </w:tcPr>
          <w:p w14:paraId="09EDCFE8" w14:textId="387582AD" w:rsidR="00247F2F" w:rsidRPr="00791BF0" w:rsidRDefault="0084339F" w:rsidP="00DE0F72">
            <w:pPr>
              <w:pStyle w:val="xmsonormal"/>
              <w:spacing w:before="0" w:beforeAutospacing="0" w:after="0" w:afterAutospacing="0" w:line="252" w:lineRule="auto"/>
              <w:jc w:val="center"/>
              <w:rPr>
                <w:color w:val="212121"/>
                <w:lang w:val="fr-CA"/>
              </w:rPr>
            </w:pPr>
            <w:r w:rsidRPr="00791BF0">
              <w:rPr>
                <w:rFonts w:ascii="Arial" w:hAnsi="Arial" w:cs="Arial"/>
                <w:b/>
                <w:bCs/>
                <w:color w:val="FFFFFF"/>
                <w:sz w:val="20"/>
                <w:szCs w:val="20"/>
                <w:lang w:val="fr-CA"/>
              </w:rPr>
              <w:t>Série</w:t>
            </w:r>
            <w:r w:rsidR="00247F2F" w:rsidRPr="00791BF0">
              <w:rPr>
                <w:rFonts w:ascii="Arial" w:hAnsi="Arial" w:cs="Arial"/>
                <w:b/>
                <w:bCs/>
                <w:color w:val="FFFFFF"/>
                <w:sz w:val="20"/>
                <w:szCs w:val="20"/>
                <w:lang w:val="fr-CA"/>
              </w:rPr>
              <w:t xml:space="preserve"> Q</w:t>
            </w:r>
          </w:p>
        </w:tc>
        <w:tc>
          <w:tcPr>
            <w:tcW w:w="2080" w:type="dxa"/>
            <w:tcBorders>
              <w:top w:val="single" w:sz="8" w:space="0" w:color="auto"/>
              <w:left w:val="nil"/>
              <w:bottom w:val="single" w:sz="8" w:space="0" w:color="auto"/>
              <w:right w:val="single" w:sz="8" w:space="0" w:color="auto"/>
            </w:tcBorders>
            <w:shd w:val="clear" w:color="auto" w:fill="ED5A36"/>
            <w:noWrap/>
            <w:tcMar>
              <w:top w:w="0" w:type="dxa"/>
              <w:left w:w="108" w:type="dxa"/>
              <w:bottom w:w="0" w:type="dxa"/>
              <w:right w:w="108" w:type="dxa"/>
            </w:tcMar>
            <w:vAlign w:val="center"/>
            <w:hideMark/>
          </w:tcPr>
          <w:p w14:paraId="034DB1F4" w14:textId="4E42A193" w:rsidR="00247F2F" w:rsidRPr="00791BF0" w:rsidRDefault="0084339F" w:rsidP="00DE0F72">
            <w:pPr>
              <w:pStyle w:val="xmsonormal"/>
              <w:spacing w:before="0" w:beforeAutospacing="0" w:after="0" w:afterAutospacing="0" w:line="252" w:lineRule="auto"/>
              <w:jc w:val="center"/>
              <w:rPr>
                <w:color w:val="212121"/>
                <w:lang w:val="fr-CA"/>
              </w:rPr>
            </w:pPr>
            <w:r w:rsidRPr="00791BF0">
              <w:rPr>
                <w:rFonts w:ascii="Arial" w:hAnsi="Arial" w:cs="Arial"/>
                <w:b/>
                <w:bCs/>
                <w:color w:val="FFFFFF"/>
                <w:sz w:val="20"/>
                <w:szCs w:val="20"/>
                <w:lang w:val="fr-CA"/>
              </w:rPr>
              <w:t>Série</w:t>
            </w:r>
            <w:r w:rsidR="00247F2F" w:rsidRPr="00791BF0">
              <w:rPr>
                <w:rFonts w:ascii="Arial" w:hAnsi="Arial" w:cs="Arial"/>
                <w:b/>
                <w:bCs/>
                <w:color w:val="FFFFFF"/>
                <w:sz w:val="20"/>
                <w:szCs w:val="20"/>
                <w:lang w:val="fr-CA"/>
              </w:rPr>
              <w:t xml:space="preserve"> W</w:t>
            </w:r>
          </w:p>
        </w:tc>
      </w:tr>
      <w:tr w:rsidR="00247F2F" w:rsidRPr="00791BF0" w14:paraId="269D4BDC" w14:textId="77777777" w:rsidTr="00DE0F72">
        <w:trPr>
          <w:trHeight w:val="255"/>
        </w:trPr>
        <w:tc>
          <w:tcPr>
            <w:tcW w:w="8573" w:type="dxa"/>
            <w:gridSpan w:val="3"/>
            <w:tcBorders>
              <w:top w:val="nil"/>
              <w:left w:val="single" w:sz="8" w:space="0" w:color="auto"/>
              <w:bottom w:val="single" w:sz="8" w:space="0" w:color="auto"/>
              <w:right w:val="single" w:sz="8" w:space="0" w:color="auto"/>
            </w:tcBorders>
            <w:shd w:val="clear" w:color="auto" w:fill="F47E20"/>
            <w:noWrap/>
            <w:tcMar>
              <w:top w:w="0" w:type="dxa"/>
              <w:left w:w="108" w:type="dxa"/>
              <w:bottom w:w="0" w:type="dxa"/>
              <w:right w:w="108" w:type="dxa"/>
            </w:tcMar>
            <w:vAlign w:val="center"/>
            <w:hideMark/>
          </w:tcPr>
          <w:p w14:paraId="50068EB3" w14:textId="646C982E" w:rsidR="00247F2F" w:rsidRPr="00791BF0" w:rsidRDefault="00247F2F" w:rsidP="00DE0F72">
            <w:pPr>
              <w:pStyle w:val="xmsonormal"/>
              <w:spacing w:before="0" w:beforeAutospacing="0" w:after="0" w:afterAutospacing="0" w:line="252" w:lineRule="auto"/>
              <w:jc w:val="center"/>
              <w:rPr>
                <w:color w:val="212121"/>
                <w:lang w:val="fr-CA"/>
              </w:rPr>
            </w:pPr>
            <w:r w:rsidRPr="00791BF0">
              <w:rPr>
                <w:rFonts w:ascii="Arial" w:hAnsi="Arial" w:cs="Arial"/>
                <w:b/>
                <w:bCs/>
                <w:color w:val="000000"/>
                <w:sz w:val="20"/>
                <w:szCs w:val="20"/>
                <w:lang w:val="fr-CA"/>
              </w:rPr>
              <w:t>Solutions</w:t>
            </w:r>
            <w:r w:rsidR="0084339F" w:rsidRPr="00791BF0">
              <w:rPr>
                <w:rFonts w:ascii="Arial" w:hAnsi="Arial" w:cs="Arial"/>
                <w:b/>
                <w:bCs/>
                <w:color w:val="000000"/>
                <w:sz w:val="20"/>
                <w:szCs w:val="20"/>
                <w:lang w:val="fr-CA"/>
              </w:rPr>
              <w:t xml:space="preserve"> gérées</w:t>
            </w:r>
          </w:p>
        </w:tc>
      </w:tr>
      <w:tr w:rsidR="00247F2F" w:rsidRPr="00791BF0" w14:paraId="22C70C18" w14:textId="77777777" w:rsidTr="00DE0F72">
        <w:trPr>
          <w:trHeight w:val="270"/>
        </w:trPr>
        <w:tc>
          <w:tcPr>
            <w:tcW w:w="467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B7400CC" w14:textId="50E02459" w:rsidR="00247F2F" w:rsidRPr="00791BF0" w:rsidRDefault="00B02D80" w:rsidP="00DE0F72">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Portefeuille Éléments Équilibré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C4F960F" w14:textId="7AB5C02E" w:rsidR="00247F2F" w:rsidRPr="00791BF0" w:rsidRDefault="0084339F"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w:t>
            </w:r>
            <w:r w:rsidR="00247F2F" w:rsidRPr="00791BF0">
              <w:rPr>
                <w:rFonts w:ascii="Arial" w:hAnsi="Arial" w:cs="Arial"/>
                <w:color w:val="000000"/>
                <w:sz w:val="20"/>
                <w:szCs w:val="20"/>
                <w:lang w:val="fr-CA"/>
              </w:rPr>
              <w:t>80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à</w:t>
            </w:r>
            <w:r w:rsidR="00126CE3" w:rsidRPr="00791BF0">
              <w:rPr>
                <w:rFonts w:ascii="Arial" w:hAnsi="Arial" w:cs="Arial"/>
                <w:color w:val="000000"/>
                <w:sz w:val="20"/>
                <w:szCs w:val="20"/>
                <w:lang w:val="fr-CA"/>
              </w:rPr>
              <w:t xml:space="preserve"> 0,</w:t>
            </w:r>
            <w:r w:rsidR="00247F2F" w:rsidRPr="00791BF0">
              <w:rPr>
                <w:rFonts w:ascii="Arial" w:hAnsi="Arial" w:cs="Arial"/>
                <w:color w:val="000000"/>
                <w:sz w:val="20"/>
                <w:szCs w:val="20"/>
                <w:lang w:val="fr-CA"/>
              </w:rPr>
              <w:t>70</w:t>
            </w:r>
            <w:r w:rsidR="00126CE3"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3C9259" w14:textId="7397EBBD" w:rsidR="00247F2F" w:rsidRPr="00791BF0" w:rsidRDefault="00A3030A"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0,80 % à 0,70 %</w:t>
            </w:r>
          </w:p>
        </w:tc>
      </w:tr>
      <w:tr w:rsidR="00247F2F" w:rsidRPr="00791BF0" w14:paraId="3C7D1CB0" w14:textId="77777777" w:rsidTr="00DE0F72">
        <w:trPr>
          <w:trHeight w:val="270"/>
        </w:trPr>
        <w:tc>
          <w:tcPr>
            <w:tcW w:w="467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927AB31" w14:textId="1F71ABDB" w:rsidR="00247F2F" w:rsidRPr="00791BF0" w:rsidRDefault="00B02D80" w:rsidP="00DE0F72">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Catégorie Portefeuille Éléments Équilibré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1DF52AA" w14:textId="5B161F25" w:rsidR="00247F2F" w:rsidRPr="00791BF0" w:rsidRDefault="0084339F"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w:t>
            </w:r>
            <w:r w:rsidR="00247F2F" w:rsidRPr="00791BF0">
              <w:rPr>
                <w:rFonts w:ascii="Arial" w:hAnsi="Arial" w:cs="Arial"/>
                <w:color w:val="000000"/>
                <w:sz w:val="20"/>
                <w:szCs w:val="20"/>
                <w:lang w:val="fr-CA"/>
              </w:rPr>
              <w:t>80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à</w:t>
            </w:r>
            <w:r w:rsidR="00126CE3" w:rsidRPr="00791BF0">
              <w:rPr>
                <w:rFonts w:ascii="Arial" w:hAnsi="Arial" w:cs="Arial"/>
                <w:color w:val="000000"/>
                <w:sz w:val="20"/>
                <w:szCs w:val="20"/>
                <w:lang w:val="fr-CA"/>
              </w:rPr>
              <w:t xml:space="preserve"> 0,</w:t>
            </w:r>
            <w:r w:rsidR="00247F2F" w:rsidRPr="00791BF0">
              <w:rPr>
                <w:rFonts w:ascii="Arial" w:hAnsi="Arial" w:cs="Arial"/>
                <w:color w:val="000000"/>
                <w:sz w:val="20"/>
                <w:szCs w:val="20"/>
                <w:lang w:val="fr-CA"/>
              </w:rPr>
              <w:t>70</w:t>
            </w:r>
            <w:r w:rsidR="00126CE3"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F7311C2" w14:textId="56C7EF36" w:rsidR="00247F2F" w:rsidRPr="00791BF0" w:rsidRDefault="00A3030A"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0,80 % à 0,70 %</w:t>
            </w:r>
          </w:p>
        </w:tc>
      </w:tr>
      <w:tr w:rsidR="00247F2F" w:rsidRPr="00791BF0" w14:paraId="6C8B6C6E" w14:textId="77777777" w:rsidTr="00DE0F72">
        <w:trPr>
          <w:trHeight w:val="270"/>
        </w:trPr>
        <w:tc>
          <w:tcPr>
            <w:tcW w:w="467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6C26448" w14:textId="6780F3B5" w:rsidR="00247F2F" w:rsidRPr="00791BF0" w:rsidRDefault="00B02D80" w:rsidP="00DE0F72">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Portefeuille Éléments Conservateur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A8DD78E" w14:textId="47607931" w:rsidR="00247F2F" w:rsidRPr="00791BF0" w:rsidRDefault="0084339F"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w:t>
            </w:r>
            <w:r w:rsidR="00247F2F" w:rsidRPr="00791BF0">
              <w:rPr>
                <w:rFonts w:ascii="Arial" w:hAnsi="Arial" w:cs="Arial"/>
                <w:color w:val="000000"/>
                <w:sz w:val="20"/>
                <w:szCs w:val="20"/>
                <w:lang w:val="fr-CA"/>
              </w:rPr>
              <w:t>80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à</w:t>
            </w:r>
            <w:r w:rsidR="00126CE3" w:rsidRPr="00791BF0">
              <w:rPr>
                <w:rFonts w:ascii="Arial" w:hAnsi="Arial" w:cs="Arial"/>
                <w:color w:val="000000"/>
                <w:sz w:val="20"/>
                <w:szCs w:val="20"/>
                <w:lang w:val="fr-CA"/>
              </w:rPr>
              <w:t xml:space="preserve"> 0,</w:t>
            </w:r>
            <w:r w:rsidR="00247F2F" w:rsidRPr="00791BF0">
              <w:rPr>
                <w:rFonts w:ascii="Arial" w:hAnsi="Arial" w:cs="Arial"/>
                <w:color w:val="000000"/>
                <w:sz w:val="20"/>
                <w:szCs w:val="20"/>
                <w:lang w:val="fr-CA"/>
              </w:rPr>
              <w:t>70</w:t>
            </w:r>
            <w:r w:rsidR="00126CE3"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931B4E" w14:textId="1C103823" w:rsidR="00247F2F" w:rsidRPr="00791BF0" w:rsidRDefault="00A3030A"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0,80 % à 0,70 %</w:t>
            </w:r>
          </w:p>
        </w:tc>
      </w:tr>
      <w:tr w:rsidR="00247F2F" w:rsidRPr="00791BF0" w14:paraId="58D7D728" w14:textId="77777777" w:rsidTr="00DE0F72">
        <w:trPr>
          <w:trHeight w:val="270"/>
        </w:trPr>
        <w:tc>
          <w:tcPr>
            <w:tcW w:w="467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BCBA3C9" w14:textId="6D8EC1DC" w:rsidR="00247F2F" w:rsidRPr="00791BF0" w:rsidRDefault="00B02D80" w:rsidP="00DE0F72">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Catégorie Portefeuille Éléments Conservateur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E57182F" w14:textId="7201BA99" w:rsidR="00247F2F" w:rsidRPr="00791BF0" w:rsidRDefault="0084339F"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w:t>
            </w:r>
            <w:r w:rsidR="00247F2F" w:rsidRPr="00791BF0">
              <w:rPr>
                <w:rFonts w:ascii="Arial" w:hAnsi="Arial" w:cs="Arial"/>
                <w:color w:val="000000"/>
                <w:sz w:val="20"/>
                <w:szCs w:val="20"/>
                <w:lang w:val="fr-CA"/>
              </w:rPr>
              <w:t>80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à</w:t>
            </w:r>
            <w:r w:rsidR="00126CE3" w:rsidRPr="00791BF0">
              <w:rPr>
                <w:rFonts w:ascii="Arial" w:hAnsi="Arial" w:cs="Arial"/>
                <w:color w:val="000000"/>
                <w:sz w:val="20"/>
                <w:szCs w:val="20"/>
                <w:lang w:val="fr-CA"/>
              </w:rPr>
              <w:t xml:space="preserve"> 0,</w:t>
            </w:r>
            <w:r w:rsidR="00247F2F" w:rsidRPr="00791BF0">
              <w:rPr>
                <w:rFonts w:ascii="Arial" w:hAnsi="Arial" w:cs="Arial"/>
                <w:color w:val="000000"/>
                <w:sz w:val="20"/>
                <w:szCs w:val="20"/>
                <w:lang w:val="fr-CA"/>
              </w:rPr>
              <w:t>70</w:t>
            </w:r>
            <w:r w:rsidR="00126CE3"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E478576" w14:textId="66175A45" w:rsidR="00247F2F" w:rsidRPr="00791BF0" w:rsidRDefault="00A3030A"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0,80 % à 0,70 %</w:t>
            </w:r>
          </w:p>
        </w:tc>
      </w:tr>
      <w:tr w:rsidR="00247F2F" w:rsidRPr="00791BF0" w14:paraId="28EB23CB" w14:textId="77777777" w:rsidTr="00DE0F72">
        <w:trPr>
          <w:trHeight w:val="270"/>
        </w:trPr>
        <w:tc>
          <w:tcPr>
            <w:tcW w:w="467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660AD2" w14:textId="4A7463B3" w:rsidR="00247F2F" w:rsidRPr="00791BF0" w:rsidRDefault="00B02D80" w:rsidP="00DE0F72">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Portefeuille Éléments Mondial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4BA0CB4" w14:textId="4537353A" w:rsidR="00247F2F" w:rsidRPr="00791BF0" w:rsidRDefault="0084339F"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w:t>
            </w:r>
            <w:r w:rsidR="00247F2F" w:rsidRPr="00791BF0">
              <w:rPr>
                <w:rFonts w:ascii="Arial" w:hAnsi="Arial" w:cs="Arial"/>
                <w:color w:val="000000"/>
                <w:sz w:val="20"/>
                <w:szCs w:val="20"/>
                <w:lang w:val="fr-CA"/>
              </w:rPr>
              <w:t>90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 xml:space="preserve">à </w:t>
            </w:r>
            <w:r w:rsidR="00126CE3" w:rsidRPr="00791BF0">
              <w:rPr>
                <w:rFonts w:ascii="Arial" w:hAnsi="Arial" w:cs="Arial"/>
                <w:color w:val="000000"/>
                <w:sz w:val="20"/>
                <w:szCs w:val="20"/>
                <w:lang w:val="fr-CA"/>
              </w:rPr>
              <w:t>0,</w:t>
            </w:r>
            <w:r w:rsidR="00247F2F" w:rsidRPr="00791BF0">
              <w:rPr>
                <w:rFonts w:ascii="Arial" w:hAnsi="Arial" w:cs="Arial"/>
                <w:color w:val="000000"/>
                <w:sz w:val="20"/>
                <w:szCs w:val="20"/>
                <w:lang w:val="fr-CA"/>
              </w:rPr>
              <w:t>80</w:t>
            </w:r>
            <w:r w:rsidR="00126CE3"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0863D51" w14:textId="0C6DDFA3" w:rsidR="00247F2F" w:rsidRPr="00791BF0" w:rsidRDefault="00A3030A"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0,90 % à 0,80 %</w:t>
            </w:r>
          </w:p>
        </w:tc>
      </w:tr>
      <w:tr w:rsidR="00247F2F" w:rsidRPr="00791BF0" w14:paraId="1478250A" w14:textId="77777777" w:rsidTr="00DE0F72">
        <w:trPr>
          <w:trHeight w:val="270"/>
        </w:trPr>
        <w:tc>
          <w:tcPr>
            <w:tcW w:w="467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FC8F4A4" w14:textId="1A9F0CD6" w:rsidR="00247F2F" w:rsidRPr="00791BF0" w:rsidRDefault="00B02D80" w:rsidP="00DE0F72">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Catégorie Portefeuille Éléments Mondial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B5E25E0" w14:textId="14741ADC" w:rsidR="00247F2F" w:rsidRPr="00791BF0" w:rsidRDefault="0084339F"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w:t>
            </w:r>
            <w:r w:rsidR="00247F2F" w:rsidRPr="00791BF0">
              <w:rPr>
                <w:rFonts w:ascii="Arial" w:hAnsi="Arial" w:cs="Arial"/>
                <w:color w:val="000000"/>
                <w:sz w:val="20"/>
                <w:szCs w:val="20"/>
                <w:lang w:val="fr-CA"/>
              </w:rPr>
              <w:t>90</w:t>
            </w:r>
            <w:r w:rsidRPr="00791BF0">
              <w:rPr>
                <w:rFonts w:ascii="Arial" w:hAnsi="Arial" w:cs="Arial"/>
                <w:color w:val="000000"/>
                <w:sz w:val="20"/>
                <w:szCs w:val="20"/>
                <w:lang w:val="fr-CA"/>
              </w:rPr>
              <w:t xml:space="preserve"> % à </w:t>
            </w:r>
            <w:r w:rsidR="00126CE3" w:rsidRPr="00791BF0">
              <w:rPr>
                <w:rFonts w:ascii="Arial" w:hAnsi="Arial" w:cs="Arial"/>
                <w:color w:val="000000"/>
                <w:sz w:val="20"/>
                <w:szCs w:val="20"/>
                <w:lang w:val="fr-CA"/>
              </w:rPr>
              <w:t>0,</w:t>
            </w:r>
            <w:r w:rsidR="00247F2F" w:rsidRPr="00791BF0">
              <w:rPr>
                <w:rFonts w:ascii="Arial" w:hAnsi="Arial" w:cs="Arial"/>
                <w:color w:val="000000"/>
                <w:sz w:val="20"/>
                <w:szCs w:val="20"/>
                <w:lang w:val="fr-CA"/>
              </w:rPr>
              <w:t>80</w:t>
            </w:r>
            <w:r w:rsidR="00126CE3"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DFC43D" w14:textId="1AD9FA4B" w:rsidR="00247F2F" w:rsidRPr="00791BF0" w:rsidRDefault="00A3030A"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0,90 % à 0,80 %</w:t>
            </w:r>
          </w:p>
        </w:tc>
      </w:tr>
      <w:tr w:rsidR="00247F2F" w:rsidRPr="00791BF0" w14:paraId="77E195EF" w14:textId="77777777" w:rsidTr="00DE0F72">
        <w:trPr>
          <w:trHeight w:val="270"/>
        </w:trPr>
        <w:tc>
          <w:tcPr>
            <w:tcW w:w="467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031B20B" w14:textId="4306E94B" w:rsidR="00247F2F" w:rsidRPr="00791BF0" w:rsidRDefault="00DE0F72" w:rsidP="00DE0F72">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Portefeuille Éléments Croissance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D883FC9" w14:textId="6A6A8B6F" w:rsidR="00247F2F" w:rsidRPr="00791BF0" w:rsidRDefault="0084339F"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w:t>
            </w:r>
            <w:r w:rsidR="00247F2F" w:rsidRPr="00791BF0">
              <w:rPr>
                <w:rFonts w:ascii="Arial" w:hAnsi="Arial" w:cs="Arial"/>
                <w:color w:val="000000"/>
                <w:sz w:val="20"/>
                <w:szCs w:val="20"/>
                <w:lang w:val="fr-CA"/>
              </w:rPr>
              <w:t>90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à</w:t>
            </w:r>
            <w:r w:rsidR="00126CE3" w:rsidRPr="00791BF0">
              <w:rPr>
                <w:rFonts w:ascii="Arial" w:hAnsi="Arial" w:cs="Arial"/>
                <w:color w:val="000000"/>
                <w:sz w:val="20"/>
                <w:szCs w:val="20"/>
                <w:lang w:val="fr-CA"/>
              </w:rPr>
              <w:t xml:space="preserve"> 0,</w:t>
            </w:r>
            <w:r w:rsidR="00247F2F" w:rsidRPr="00791BF0">
              <w:rPr>
                <w:rFonts w:ascii="Arial" w:hAnsi="Arial" w:cs="Arial"/>
                <w:color w:val="000000"/>
                <w:sz w:val="20"/>
                <w:szCs w:val="20"/>
                <w:lang w:val="fr-CA"/>
              </w:rPr>
              <w:t>70</w:t>
            </w:r>
            <w:r w:rsidR="00126CE3"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040286" w14:textId="60B09EA1" w:rsidR="00247F2F" w:rsidRPr="00791BF0" w:rsidRDefault="00A3030A"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0,90 % à 0,70 %</w:t>
            </w:r>
          </w:p>
        </w:tc>
      </w:tr>
      <w:tr w:rsidR="00247F2F" w:rsidRPr="00791BF0" w14:paraId="0638968E" w14:textId="77777777" w:rsidTr="00DE0F72">
        <w:trPr>
          <w:trHeight w:val="270"/>
        </w:trPr>
        <w:tc>
          <w:tcPr>
            <w:tcW w:w="467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41E810" w14:textId="6947212B" w:rsidR="00247F2F" w:rsidRPr="00791BF0" w:rsidRDefault="00DE0F72" w:rsidP="00DE0F72">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Catégorie Portefeuille Éléments Croissance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F707991" w14:textId="48BBDF19" w:rsidR="00247F2F" w:rsidRPr="00791BF0" w:rsidRDefault="0084339F"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w:t>
            </w:r>
            <w:r w:rsidR="00247F2F" w:rsidRPr="00791BF0">
              <w:rPr>
                <w:rFonts w:ascii="Arial" w:hAnsi="Arial" w:cs="Arial"/>
                <w:color w:val="000000"/>
                <w:sz w:val="20"/>
                <w:szCs w:val="20"/>
                <w:lang w:val="fr-CA"/>
              </w:rPr>
              <w:t>90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à</w:t>
            </w:r>
            <w:r w:rsidR="00126CE3" w:rsidRPr="00791BF0">
              <w:rPr>
                <w:rFonts w:ascii="Arial" w:hAnsi="Arial" w:cs="Arial"/>
                <w:color w:val="000000"/>
                <w:sz w:val="20"/>
                <w:szCs w:val="20"/>
                <w:lang w:val="fr-CA"/>
              </w:rPr>
              <w:t xml:space="preserve"> 0,</w:t>
            </w:r>
            <w:r w:rsidR="00247F2F" w:rsidRPr="00791BF0">
              <w:rPr>
                <w:rFonts w:ascii="Arial" w:hAnsi="Arial" w:cs="Arial"/>
                <w:color w:val="000000"/>
                <w:sz w:val="20"/>
                <w:szCs w:val="20"/>
                <w:lang w:val="fr-CA"/>
              </w:rPr>
              <w:t>70</w:t>
            </w:r>
            <w:r w:rsidR="00126CE3"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8F47BA7" w14:textId="4C89E1D5" w:rsidR="00247F2F" w:rsidRPr="00791BF0" w:rsidRDefault="00A3030A"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0,90 % à 0,70 %</w:t>
            </w:r>
          </w:p>
        </w:tc>
      </w:tr>
      <w:tr w:rsidR="00247F2F" w:rsidRPr="00791BF0" w14:paraId="468DDA84" w14:textId="77777777" w:rsidTr="00DE0F72">
        <w:trPr>
          <w:trHeight w:val="270"/>
        </w:trPr>
        <w:tc>
          <w:tcPr>
            <w:tcW w:w="467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3F473BE" w14:textId="57AEA3CE" w:rsidR="00247F2F" w:rsidRPr="00791BF0" w:rsidRDefault="00DE0F72" w:rsidP="00DE0F72">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Portefeuille Éléments Rendement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40915AB" w14:textId="15DC8A8C" w:rsidR="00247F2F" w:rsidRPr="00791BF0" w:rsidRDefault="0084339F"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w:t>
            </w:r>
            <w:r w:rsidR="00247F2F" w:rsidRPr="00791BF0">
              <w:rPr>
                <w:rFonts w:ascii="Arial" w:hAnsi="Arial" w:cs="Arial"/>
                <w:color w:val="000000"/>
                <w:sz w:val="20"/>
                <w:szCs w:val="20"/>
                <w:lang w:val="fr-CA"/>
              </w:rPr>
              <w:t>80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à</w:t>
            </w:r>
            <w:r w:rsidR="00126CE3" w:rsidRPr="00791BF0">
              <w:rPr>
                <w:rFonts w:ascii="Arial" w:hAnsi="Arial" w:cs="Arial"/>
                <w:color w:val="000000"/>
                <w:sz w:val="20"/>
                <w:szCs w:val="20"/>
                <w:lang w:val="fr-CA"/>
              </w:rPr>
              <w:t xml:space="preserve"> 0,</w:t>
            </w:r>
            <w:r w:rsidR="00247F2F" w:rsidRPr="00791BF0">
              <w:rPr>
                <w:rFonts w:ascii="Arial" w:hAnsi="Arial" w:cs="Arial"/>
                <w:color w:val="000000"/>
                <w:sz w:val="20"/>
                <w:szCs w:val="20"/>
                <w:lang w:val="fr-CA"/>
              </w:rPr>
              <w:t>70</w:t>
            </w:r>
            <w:r w:rsidR="00126CE3"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B910C33" w14:textId="738BA186" w:rsidR="00247F2F" w:rsidRPr="00791BF0" w:rsidRDefault="00A3030A"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0,80 % à 0,70 %</w:t>
            </w:r>
          </w:p>
        </w:tc>
      </w:tr>
      <w:tr w:rsidR="00247F2F" w:rsidRPr="00791BF0" w14:paraId="2501162E" w14:textId="77777777" w:rsidTr="00DE0F72">
        <w:trPr>
          <w:trHeight w:val="270"/>
        </w:trPr>
        <w:tc>
          <w:tcPr>
            <w:tcW w:w="467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04D990" w14:textId="4F4E60C0" w:rsidR="00247F2F" w:rsidRPr="00791BF0" w:rsidRDefault="00DE0F72" w:rsidP="00DE0F72">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Catégorie Portefeuille Éléments Rendement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41B3A76" w14:textId="06A57DEC" w:rsidR="00247F2F" w:rsidRPr="00791BF0" w:rsidRDefault="0084339F"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w:t>
            </w:r>
            <w:r w:rsidR="00247F2F" w:rsidRPr="00791BF0">
              <w:rPr>
                <w:rFonts w:ascii="Arial" w:hAnsi="Arial" w:cs="Arial"/>
                <w:color w:val="000000"/>
                <w:sz w:val="20"/>
                <w:szCs w:val="20"/>
                <w:lang w:val="fr-CA"/>
              </w:rPr>
              <w:t>80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à</w:t>
            </w:r>
            <w:r w:rsidR="00126CE3" w:rsidRPr="00791BF0">
              <w:rPr>
                <w:rFonts w:ascii="Arial" w:hAnsi="Arial" w:cs="Arial"/>
                <w:color w:val="000000"/>
                <w:sz w:val="20"/>
                <w:szCs w:val="20"/>
                <w:lang w:val="fr-CA"/>
              </w:rPr>
              <w:t xml:space="preserve"> 0,</w:t>
            </w:r>
            <w:r w:rsidR="00247F2F" w:rsidRPr="00791BF0">
              <w:rPr>
                <w:rFonts w:ascii="Arial" w:hAnsi="Arial" w:cs="Arial"/>
                <w:color w:val="000000"/>
                <w:sz w:val="20"/>
                <w:szCs w:val="20"/>
                <w:lang w:val="fr-CA"/>
              </w:rPr>
              <w:t>70</w:t>
            </w:r>
            <w:r w:rsidR="00126CE3"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39E8FD7" w14:textId="495962ED" w:rsidR="00247F2F" w:rsidRPr="00791BF0" w:rsidRDefault="00A3030A"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0,80 % à 0,70 %</w:t>
            </w:r>
          </w:p>
        </w:tc>
      </w:tr>
    </w:tbl>
    <w:p w14:paraId="35BCABEB" w14:textId="77777777" w:rsidR="00247F2F" w:rsidRPr="00791BF0" w:rsidRDefault="00247F2F" w:rsidP="00247F2F">
      <w:pPr>
        <w:rPr>
          <w:rFonts w:ascii="Arial" w:hAnsi="Arial" w:cs="Arial"/>
          <w:sz w:val="20"/>
          <w:szCs w:val="20"/>
          <w:lang w:val="fr-CA"/>
        </w:rPr>
      </w:pPr>
    </w:p>
    <w:p w14:paraId="221C1B9B" w14:textId="77777777" w:rsidR="00247F2F" w:rsidRPr="00791BF0" w:rsidRDefault="00247F2F" w:rsidP="00247F2F">
      <w:pPr>
        <w:rPr>
          <w:rFonts w:ascii="Arial" w:hAnsi="Arial" w:cs="Arial"/>
          <w:sz w:val="20"/>
          <w:szCs w:val="20"/>
          <w:lang w:val="fr-CA"/>
        </w:rPr>
      </w:pPr>
    </w:p>
    <w:p w14:paraId="2B5BDCDB" w14:textId="77777777" w:rsidR="00247F2F" w:rsidRPr="00791BF0" w:rsidRDefault="00247F2F" w:rsidP="00247F2F">
      <w:pPr>
        <w:rPr>
          <w:rFonts w:ascii="Arial" w:hAnsi="Arial" w:cs="Arial"/>
          <w:sz w:val="20"/>
          <w:szCs w:val="20"/>
          <w:lang w:val="fr-CA"/>
        </w:rPr>
      </w:pPr>
    </w:p>
    <w:p w14:paraId="7E348556" w14:textId="77777777" w:rsidR="00247F2F" w:rsidRPr="00791BF0" w:rsidRDefault="00247F2F" w:rsidP="00247F2F">
      <w:pPr>
        <w:rPr>
          <w:rFonts w:ascii="Arial" w:hAnsi="Arial" w:cs="Arial"/>
          <w:sz w:val="20"/>
          <w:szCs w:val="20"/>
          <w:lang w:val="fr-CA"/>
        </w:rPr>
      </w:pPr>
    </w:p>
    <w:p w14:paraId="3FEC34E5" w14:textId="77777777" w:rsidR="00247F2F" w:rsidRPr="00791BF0" w:rsidRDefault="00247F2F" w:rsidP="00247F2F">
      <w:pPr>
        <w:rPr>
          <w:rFonts w:ascii="Arial" w:hAnsi="Arial" w:cs="Arial"/>
          <w:sz w:val="20"/>
          <w:szCs w:val="20"/>
          <w:lang w:val="fr-CA"/>
        </w:rPr>
      </w:pPr>
    </w:p>
    <w:p w14:paraId="63B60A62" w14:textId="77777777" w:rsidR="00247F2F" w:rsidRPr="00791BF0" w:rsidRDefault="00247F2F" w:rsidP="00247F2F">
      <w:pPr>
        <w:rPr>
          <w:rFonts w:ascii="Arial" w:hAnsi="Arial" w:cs="Arial"/>
          <w:sz w:val="20"/>
          <w:szCs w:val="20"/>
          <w:lang w:val="fr-CA"/>
        </w:rPr>
      </w:pPr>
    </w:p>
    <w:p w14:paraId="59B93F98" w14:textId="77777777" w:rsidR="00247F2F" w:rsidRPr="00791BF0" w:rsidRDefault="00247F2F" w:rsidP="00247F2F">
      <w:pPr>
        <w:rPr>
          <w:rFonts w:ascii="Arial" w:hAnsi="Arial" w:cs="Arial"/>
          <w:sz w:val="20"/>
          <w:szCs w:val="20"/>
          <w:lang w:val="fr-CA"/>
        </w:rPr>
      </w:pPr>
    </w:p>
    <w:p w14:paraId="32C99CEF" w14:textId="77777777" w:rsidR="00247F2F" w:rsidRPr="00791BF0" w:rsidRDefault="00247F2F" w:rsidP="00247F2F">
      <w:pPr>
        <w:rPr>
          <w:rFonts w:ascii="Arial" w:hAnsi="Arial" w:cs="Arial"/>
          <w:sz w:val="20"/>
          <w:szCs w:val="20"/>
          <w:lang w:val="fr-CA"/>
        </w:rPr>
      </w:pPr>
    </w:p>
    <w:p w14:paraId="7B965A2E" w14:textId="77777777" w:rsidR="00247F2F" w:rsidRDefault="00247F2F" w:rsidP="00247F2F">
      <w:pPr>
        <w:rPr>
          <w:rFonts w:ascii="Arial" w:hAnsi="Arial" w:cs="Arial"/>
          <w:sz w:val="20"/>
          <w:szCs w:val="20"/>
          <w:lang w:val="fr-CA"/>
        </w:rPr>
      </w:pPr>
    </w:p>
    <w:p w14:paraId="54B7E3CA" w14:textId="77777777" w:rsidR="004714E9" w:rsidRPr="00791BF0" w:rsidRDefault="004714E9" w:rsidP="00247F2F">
      <w:pPr>
        <w:rPr>
          <w:rFonts w:ascii="Arial" w:hAnsi="Arial" w:cs="Arial"/>
          <w:sz w:val="20"/>
          <w:szCs w:val="20"/>
          <w:lang w:val="fr-CA"/>
        </w:rPr>
      </w:pPr>
    </w:p>
    <w:tbl>
      <w:tblPr>
        <w:tblpPr w:leftFromText="180" w:rightFromText="180" w:vertAnchor="text"/>
        <w:tblW w:w="8270" w:type="dxa"/>
        <w:shd w:val="clear" w:color="auto" w:fill="FFFFFF"/>
        <w:tblCellMar>
          <w:left w:w="0" w:type="dxa"/>
          <w:right w:w="0" w:type="dxa"/>
        </w:tblCellMar>
        <w:tblLook w:val="04A0" w:firstRow="1" w:lastRow="0" w:firstColumn="1" w:lastColumn="0" w:noHBand="0" w:noVBand="1"/>
      </w:tblPr>
      <w:tblGrid>
        <w:gridCol w:w="4400"/>
        <w:gridCol w:w="1800"/>
        <w:gridCol w:w="2070"/>
      </w:tblGrid>
      <w:tr w:rsidR="00DE0F72" w:rsidRPr="00791BF0" w14:paraId="42FD69B8" w14:textId="77777777" w:rsidTr="00064413">
        <w:trPr>
          <w:trHeight w:val="255"/>
        </w:trPr>
        <w:tc>
          <w:tcPr>
            <w:tcW w:w="4400" w:type="dxa"/>
            <w:tcBorders>
              <w:top w:val="single" w:sz="8" w:space="0" w:color="auto"/>
              <w:left w:val="single" w:sz="8" w:space="0" w:color="auto"/>
              <w:bottom w:val="single" w:sz="8" w:space="0" w:color="auto"/>
              <w:right w:val="single" w:sz="8" w:space="0" w:color="auto"/>
            </w:tcBorders>
            <w:shd w:val="clear" w:color="auto" w:fill="F47E20"/>
            <w:noWrap/>
            <w:tcMar>
              <w:top w:w="0" w:type="dxa"/>
              <w:left w:w="108" w:type="dxa"/>
              <w:bottom w:w="0" w:type="dxa"/>
              <w:right w:w="108" w:type="dxa"/>
            </w:tcMar>
            <w:vAlign w:val="center"/>
            <w:hideMark/>
          </w:tcPr>
          <w:p w14:paraId="520EA35A" w14:textId="243AAB38" w:rsidR="00DE0F72" w:rsidRPr="00791BF0" w:rsidRDefault="00DE0F72" w:rsidP="00DE0F72">
            <w:pPr>
              <w:pStyle w:val="xmsonormal"/>
              <w:spacing w:before="0" w:beforeAutospacing="0" w:after="0" w:afterAutospacing="0" w:line="252" w:lineRule="auto"/>
              <w:rPr>
                <w:rFonts w:ascii="Arial" w:hAnsi="Arial" w:cs="Arial"/>
                <w:b/>
                <w:bCs/>
                <w:color w:val="FFFFFF"/>
                <w:sz w:val="20"/>
                <w:szCs w:val="20"/>
                <w:lang w:val="fr-CA"/>
              </w:rPr>
            </w:pPr>
            <w:r w:rsidRPr="00791BF0">
              <w:rPr>
                <w:rFonts w:ascii="Arial" w:hAnsi="Arial" w:cs="Arial"/>
                <w:b/>
                <w:bCs/>
                <w:color w:val="FFFFFF"/>
                <w:sz w:val="20"/>
                <w:szCs w:val="20"/>
                <w:lang w:val="fr-CA"/>
              </w:rPr>
              <w:t>Fonds</w:t>
            </w:r>
          </w:p>
        </w:tc>
        <w:tc>
          <w:tcPr>
            <w:tcW w:w="1800" w:type="dxa"/>
            <w:tcBorders>
              <w:top w:val="single" w:sz="8" w:space="0" w:color="auto"/>
              <w:left w:val="nil"/>
              <w:bottom w:val="single" w:sz="8" w:space="0" w:color="auto"/>
              <w:right w:val="single" w:sz="8" w:space="0" w:color="auto"/>
            </w:tcBorders>
            <w:shd w:val="clear" w:color="auto" w:fill="F47E20"/>
            <w:vAlign w:val="center"/>
            <w:hideMark/>
          </w:tcPr>
          <w:p w14:paraId="169D8B4A" w14:textId="6EAAF8A0" w:rsidR="00DE0F72" w:rsidRPr="00791BF0" w:rsidRDefault="00DE0F72" w:rsidP="00DE0F72">
            <w:pPr>
              <w:pStyle w:val="xmsonormal"/>
              <w:spacing w:before="0" w:beforeAutospacing="0" w:after="0" w:afterAutospacing="0" w:line="252" w:lineRule="auto"/>
              <w:jc w:val="center"/>
              <w:rPr>
                <w:rFonts w:ascii="Arial" w:hAnsi="Arial" w:cs="Arial"/>
                <w:b/>
                <w:bCs/>
                <w:color w:val="FFFFFF"/>
                <w:sz w:val="20"/>
                <w:szCs w:val="20"/>
                <w:lang w:val="fr-CA"/>
              </w:rPr>
            </w:pPr>
            <w:r w:rsidRPr="00791BF0">
              <w:rPr>
                <w:rFonts w:ascii="Arial" w:hAnsi="Arial" w:cs="Arial"/>
                <w:b/>
                <w:bCs/>
                <w:color w:val="FFFFFF"/>
                <w:sz w:val="20"/>
                <w:szCs w:val="20"/>
                <w:lang w:val="fr-CA"/>
              </w:rPr>
              <w:t>Série Q</w:t>
            </w:r>
          </w:p>
        </w:tc>
        <w:tc>
          <w:tcPr>
            <w:tcW w:w="2070" w:type="dxa"/>
            <w:tcBorders>
              <w:top w:val="single" w:sz="8" w:space="0" w:color="auto"/>
              <w:left w:val="nil"/>
              <w:bottom w:val="single" w:sz="8" w:space="0" w:color="auto"/>
              <w:right w:val="single" w:sz="8" w:space="0" w:color="auto"/>
            </w:tcBorders>
            <w:shd w:val="clear" w:color="auto" w:fill="F47E20"/>
            <w:vAlign w:val="center"/>
            <w:hideMark/>
          </w:tcPr>
          <w:p w14:paraId="34F55652" w14:textId="181607FE" w:rsidR="00DE0F72" w:rsidRPr="00791BF0" w:rsidRDefault="00DE0F72" w:rsidP="00DE0F72">
            <w:pPr>
              <w:pStyle w:val="xmsonormal"/>
              <w:spacing w:before="0" w:beforeAutospacing="0" w:after="0" w:afterAutospacing="0" w:line="252" w:lineRule="auto"/>
              <w:jc w:val="center"/>
              <w:rPr>
                <w:rFonts w:ascii="Arial" w:hAnsi="Arial" w:cs="Arial"/>
                <w:b/>
                <w:bCs/>
                <w:color w:val="FFFFFF"/>
                <w:sz w:val="20"/>
                <w:szCs w:val="20"/>
                <w:lang w:val="fr-CA"/>
              </w:rPr>
            </w:pPr>
            <w:r w:rsidRPr="00791BF0">
              <w:rPr>
                <w:rFonts w:ascii="Arial" w:hAnsi="Arial" w:cs="Arial"/>
                <w:b/>
                <w:bCs/>
                <w:color w:val="FFFFFF"/>
                <w:sz w:val="20"/>
                <w:szCs w:val="20"/>
                <w:lang w:val="fr-CA"/>
              </w:rPr>
              <w:t>Série W</w:t>
            </w:r>
          </w:p>
        </w:tc>
      </w:tr>
      <w:tr w:rsidR="00247F2F" w:rsidRPr="00791BF0" w14:paraId="01ADBD7B" w14:textId="77777777" w:rsidTr="00064413">
        <w:trPr>
          <w:trHeight w:val="255"/>
        </w:trPr>
        <w:tc>
          <w:tcPr>
            <w:tcW w:w="8270" w:type="dxa"/>
            <w:gridSpan w:val="3"/>
            <w:tcBorders>
              <w:top w:val="nil"/>
              <w:left w:val="single" w:sz="8" w:space="0" w:color="auto"/>
              <w:bottom w:val="single" w:sz="8" w:space="0" w:color="auto"/>
              <w:right w:val="single" w:sz="8" w:space="0" w:color="auto"/>
            </w:tcBorders>
            <w:shd w:val="clear" w:color="auto" w:fill="F47E20"/>
            <w:noWrap/>
            <w:tcMar>
              <w:top w:w="0" w:type="dxa"/>
              <w:left w:w="108" w:type="dxa"/>
              <w:bottom w:w="0" w:type="dxa"/>
              <w:right w:w="108" w:type="dxa"/>
            </w:tcMar>
            <w:vAlign w:val="center"/>
            <w:hideMark/>
          </w:tcPr>
          <w:p w14:paraId="0ECDA132" w14:textId="34CE3B68" w:rsidR="00247F2F" w:rsidRPr="00791BF0" w:rsidRDefault="00DE0F72" w:rsidP="00064413">
            <w:pPr>
              <w:pStyle w:val="xmsonormal"/>
              <w:spacing w:before="0" w:beforeAutospacing="0" w:after="0" w:afterAutospacing="0" w:line="252" w:lineRule="auto"/>
              <w:jc w:val="center"/>
              <w:rPr>
                <w:color w:val="212121"/>
                <w:lang w:val="fr-CA"/>
              </w:rPr>
            </w:pPr>
            <w:r w:rsidRPr="00791BF0">
              <w:rPr>
                <w:rFonts w:ascii="Arial" w:hAnsi="Arial" w:cs="Arial"/>
                <w:b/>
                <w:bCs/>
                <w:color w:val="000000"/>
                <w:sz w:val="20"/>
                <w:szCs w:val="20"/>
                <w:lang w:val="fr-CA"/>
              </w:rPr>
              <w:t>Fonds d’actions mondiales</w:t>
            </w:r>
          </w:p>
        </w:tc>
      </w:tr>
      <w:tr w:rsidR="00247F2F" w:rsidRPr="00791BF0" w14:paraId="0ABCB071" w14:textId="77777777" w:rsidTr="00064413">
        <w:trPr>
          <w:trHeight w:val="270"/>
        </w:trPr>
        <w:tc>
          <w:tcPr>
            <w:tcW w:w="44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14AC1A6" w14:textId="00BDE867" w:rsidR="00247F2F" w:rsidRPr="00791BF0" w:rsidRDefault="00DE0F72" w:rsidP="00064413">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Catégorie mondiale de dividendes AGF</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BF3A5FF" w14:textId="1298BBE6" w:rsidR="00247F2F" w:rsidRPr="00791BF0" w:rsidRDefault="00DE0F72" w:rsidP="00DE0F72">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w:t>
            </w:r>
            <w:r w:rsidR="00247F2F" w:rsidRPr="00791BF0">
              <w:rPr>
                <w:rFonts w:ascii="Arial" w:hAnsi="Arial" w:cs="Arial"/>
                <w:color w:val="000000"/>
                <w:sz w:val="20"/>
                <w:szCs w:val="20"/>
                <w:lang w:val="fr-CA"/>
              </w:rPr>
              <w:t>00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à 0,</w:t>
            </w:r>
            <w:r w:rsidR="00247F2F" w:rsidRPr="00791BF0">
              <w:rPr>
                <w:rFonts w:ascii="Arial" w:hAnsi="Arial" w:cs="Arial"/>
                <w:color w:val="000000"/>
                <w:sz w:val="20"/>
                <w:szCs w:val="20"/>
                <w:lang w:val="fr-CA"/>
              </w:rPr>
              <w:t>90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D33E3F3" w14:textId="03EA4AA8" w:rsidR="00247F2F" w:rsidRPr="00791BF0" w:rsidRDefault="00DE0F72"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0,90 %</w:t>
            </w:r>
          </w:p>
        </w:tc>
      </w:tr>
      <w:tr w:rsidR="00247F2F" w:rsidRPr="00791BF0" w14:paraId="27906A36" w14:textId="77777777" w:rsidTr="00064413">
        <w:trPr>
          <w:trHeight w:val="270"/>
        </w:trPr>
        <w:tc>
          <w:tcPr>
            <w:tcW w:w="44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C9A20A" w14:textId="3C7C8C1B" w:rsidR="00247F2F" w:rsidRPr="00791BF0" w:rsidRDefault="00DE0F72" w:rsidP="00064413">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Fonds mondial de dividendes AGF</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95A1BF1" w14:textId="7846249C" w:rsidR="00247F2F" w:rsidRPr="00791BF0" w:rsidRDefault="00DE0F72"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0,90 %</w:t>
            </w:r>
          </w:p>
        </w:tc>
        <w:tc>
          <w:tcPr>
            <w:tcW w:w="20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EEE33D" w14:textId="586E0A42" w:rsidR="00247F2F" w:rsidRPr="00791BF0" w:rsidRDefault="00DE0F72"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0,90 %</w:t>
            </w:r>
          </w:p>
        </w:tc>
      </w:tr>
      <w:tr w:rsidR="00247F2F" w:rsidRPr="00791BF0" w14:paraId="71DDAE8F" w14:textId="77777777" w:rsidTr="00064413">
        <w:trPr>
          <w:trHeight w:val="270"/>
        </w:trPr>
        <w:tc>
          <w:tcPr>
            <w:tcW w:w="44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A47654B" w14:textId="30EF2842" w:rsidR="00247F2F" w:rsidRPr="00791BF0" w:rsidRDefault="00DE0F72" w:rsidP="00064413">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Catégorie Actions mondiales AGF</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005D99E" w14:textId="71628616" w:rsidR="00247F2F" w:rsidRPr="00791BF0" w:rsidRDefault="00DE0F72"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0,90 %</w:t>
            </w:r>
          </w:p>
        </w:tc>
        <w:tc>
          <w:tcPr>
            <w:tcW w:w="20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B7A6768" w14:textId="78C272DD" w:rsidR="00247F2F" w:rsidRPr="00791BF0" w:rsidRDefault="00DE0F72"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0,90 %</w:t>
            </w:r>
          </w:p>
        </w:tc>
      </w:tr>
      <w:tr w:rsidR="00247F2F" w:rsidRPr="00791BF0" w14:paraId="07E7EA79" w14:textId="77777777" w:rsidTr="00064413">
        <w:trPr>
          <w:trHeight w:val="270"/>
        </w:trPr>
        <w:tc>
          <w:tcPr>
            <w:tcW w:w="44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07EA37A" w14:textId="486D8516" w:rsidR="00247F2F" w:rsidRPr="00791BF0" w:rsidRDefault="00DE0F72" w:rsidP="00064413">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Fonds d’actions mondiales AGF</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5525F27" w14:textId="149A6FA4" w:rsidR="00247F2F" w:rsidRPr="00791BF0" w:rsidRDefault="00DE0F72"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0,90 %</w:t>
            </w:r>
          </w:p>
        </w:tc>
        <w:tc>
          <w:tcPr>
            <w:tcW w:w="20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4194138" w14:textId="4046B3DD" w:rsidR="00247F2F" w:rsidRPr="00791BF0" w:rsidRDefault="00DE0F72"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0,90 %</w:t>
            </w:r>
          </w:p>
        </w:tc>
      </w:tr>
      <w:tr w:rsidR="00247F2F" w:rsidRPr="00791BF0" w14:paraId="0AE19958" w14:textId="77777777" w:rsidTr="00064413">
        <w:trPr>
          <w:trHeight w:val="255"/>
        </w:trPr>
        <w:tc>
          <w:tcPr>
            <w:tcW w:w="8270" w:type="dxa"/>
            <w:gridSpan w:val="3"/>
            <w:tcBorders>
              <w:top w:val="nil"/>
              <w:left w:val="single" w:sz="8" w:space="0" w:color="auto"/>
              <w:bottom w:val="single" w:sz="8" w:space="0" w:color="auto"/>
              <w:right w:val="single" w:sz="8" w:space="0" w:color="auto"/>
            </w:tcBorders>
            <w:shd w:val="clear" w:color="auto" w:fill="F47E20"/>
            <w:noWrap/>
            <w:tcMar>
              <w:top w:w="0" w:type="dxa"/>
              <w:left w:w="108" w:type="dxa"/>
              <w:bottom w:w="0" w:type="dxa"/>
              <w:right w:w="108" w:type="dxa"/>
            </w:tcMar>
            <w:vAlign w:val="center"/>
            <w:hideMark/>
          </w:tcPr>
          <w:p w14:paraId="671AD170" w14:textId="5D32E03F" w:rsidR="00247F2F" w:rsidRPr="00791BF0" w:rsidRDefault="00DE0F72" w:rsidP="00064413">
            <w:pPr>
              <w:pStyle w:val="xmsonormal"/>
              <w:spacing w:before="0" w:beforeAutospacing="0" w:after="0" w:afterAutospacing="0" w:line="252" w:lineRule="auto"/>
              <w:jc w:val="center"/>
              <w:rPr>
                <w:color w:val="212121"/>
                <w:lang w:val="fr-CA"/>
              </w:rPr>
            </w:pPr>
            <w:r w:rsidRPr="00791BF0">
              <w:rPr>
                <w:rFonts w:ascii="Arial" w:hAnsi="Arial" w:cs="Arial"/>
                <w:b/>
                <w:bCs/>
                <w:color w:val="000000"/>
                <w:sz w:val="20"/>
                <w:szCs w:val="20"/>
                <w:lang w:val="fr-CA"/>
              </w:rPr>
              <w:t>Fonds de titres à revenu fixe mondiaux</w:t>
            </w:r>
          </w:p>
        </w:tc>
      </w:tr>
      <w:tr w:rsidR="00247F2F" w:rsidRPr="00791BF0" w14:paraId="03E80241" w14:textId="77777777" w:rsidTr="00064413">
        <w:trPr>
          <w:trHeight w:val="270"/>
        </w:trPr>
        <w:tc>
          <w:tcPr>
            <w:tcW w:w="44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BC48EC7" w14:textId="45B0DF7D" w:rsidR="00247F2F" w:rsidRPr="00791BF0" w:rsidRDefault="00DE0F72" w:rsidP="00064413">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Fonds de revenu à taux variable AGF</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EA6188D" w14:textId="725AA288" w:rsidR="00247F2F" w:rsidRPr="00791BF0" w:rsidRDefault="00A72DA7"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0,80 %</w:t>
            </w:r>
          </w:p>
        </w:tc>
        <w:tc>
          <w:tcPr>
            <w:tcW w:w="20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088BCD" w14:textId="0644348F" w:rsidR="00247F2F" w:rsidRPr="00791BF0" w:rsidRDefault="00A72DA7"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0,80 %</w:t>
            </w:r>
          </w:p>
        </w:tc>
      </w:tr>
      <w:tr w:rsidR="00247F2F" w:rsidRPr="00791BF0" w14:paraId="4D7887D7" w14:textId="77777777" w:rsidTr="00064413">
        <w:trPr>
          <w:trHeight w:val="270"/>
        </w:trPr>
        <w:tc>
          <w:tcPr>
            <w:tcW w:w="44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6AB35BA" w14:textId="3D59D12F" w:rsidR="00247F2F" w:rsidRPr="00791BF0" w:rsidRDefault="00DE0F72" w:rsidP="00064413">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Fonds d’obligations mondiales convertibles AGF</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13910AA" w14:textId="6BB76133" w:rsidR="00247F2F" w:rsidRPr="00791BF0" w:rsidRDefault="00A72DA7" w:rsidP="00A72DA7">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w:t>
            </w:r>
            <w:r w:rsidR="00247F2F" w:rsidRPr="00791BF0">
              <w:rPr>
                <w:rFonts w:ascii="Arial" w:hAnsi="Arial" w:cs="Arial"/>
                <w:color w:val="000000"/>
                <w:sz w:val="20"/>
                <w:szCs w:val="20"/>
                <w:lang w:val="fr-CA"/>
              </w:rPr>
              <w:t>95</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à 0,</w:t>
            </w:r>
            <w:r w:rsidR="00247F2F" w:rsidRPr="00791BF0">
              <w:rPr>
                <w:rFonts w:ascii="Arial" w:hAnsi="Arial" w:cs="Arial"/>
                <w:color w:val="000000"/>
                <w:sz w:val="20"/>
                <w:szCs w:val="20"/>
                <w:lang w:val="fr-CA"/>
              </w:rPr>
              <w:t>80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411969" w14:textId="5ECD4B23" w:rsidR="00247F2F" w:rsidRPr="00791BF0" w:rsidRDefault="00A72DA7"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0,95 % à 0,80 %</w:t>
            </w:r>
          </w:p>
        </w:tc>
      </w:tr>
      <w:tr w:rsidR="00247F2F" w:rsidRPr="00791BF0" w14:paraId="36D2DA03" w14:textId="77777777" w:rsidTr="00064413">
        <w:trPr>
          <w:trHeight w:val="255"/>
        </w:trPr>
        <w:tc>
          <w:tcPr>
            <w:tcW w:w="8270" w:type="dxa"/>
            <w:gridSpan w:val="3"/>
            <w:tcBorders>
              <w:top w:val="nil"/>
              <w:left w:val="single" w:sz="8" w:space="0" w:color="auto"/>
              <w:bottom w:val="single" w:sz="8" w:space="0" w:color="auto"/>
              <w:right w:val="single" w:sz="8" w:space="0" w:color="auto"/>
            </w:tcBorders>
            <w:shd w:val="clear" w:color="auto" w:fill="F47E20"/>
            <w:noWrap/>
            <w:tcMar>
              <w:top w:w="0" w:type="dxa"/>
              <w:left w:w="108" w:type="dxa"/>
              <w:bottom w:w="0" w:type="dxa"/>
              <w:right w:w="108" w:type="dxa"/>
            </w:tcMar>
            <w:vAlign w:val="center"/>
            <w:hideMark/>
          </w:tcPr>
          <w:p w14:paraId="240033E0" w14:textId="41CD9B9D" w:rsidR="00247F2F" w:rsidRPr="00791BF0" w:rsidRDefault="00DE0F72" w:rsidP="00064413">
            <w:pPr>
              <w:pStyle w:val="xmsonormal"/>
              <w:spacing w:before="0" w:beforeAutospacing="0" w:after="0" w:afterAutospacing="0" w:line="252" w:lineRule="auto"/>
              <w:jc w:val="center"/>
              <w:rPr>
                <w:color w:val="212121"/>
                <w:lang w:val="fr-CA"/>
              </w:rPr>
            </w:pPr>
            <w:r w:rsidRPr="00791BF0">
              <w:rPr>
                <w:rFonts w:ascii="Arial" w:hAnsi="Arial" w:cs="Arial"/>
                <w:b/>
                <w:bCs/>
                <w:color w:val="000000"/>
                <w:sz w:val="20"/>
                <w:szCs w:val="20"/>
                <w:lang w:val="fr-CA"/>
              </w:rPr>
              <w:t>Fonds d’actions américain</w:t>
            </w:r>
            <w:r w:rsidR="00CD3B39" w:rsidRPr="00791BF0">
              <w:rPr>
                <w:rFonts w:ascii="Arial" w:hAnsi="Arial" w:cs="Arial"/>
                <w:b/>
                <w:bCs/>
                <w:color w:val="000000"/>
                <w:sz w:val="20"/>
                <w:szCs w:val="20"/>
                <w:lang w:val="fr-CA"/>
              </w:rPr>
              <w:t>e</w:t>
            </w:r>
            <w:r w:rsidRPr="00791BF0">
              <w:rPr>
                <w:rFonts w:ascii="Arial" w:hAnsi="Arial" w:cs="Arial"/>
                <w:b/>
                <w:bCs/>
                <w:color w:val="000000"/>
                <w:sz w:val="20"/>
                <w:szCs w:val="20"/>
                <w:lang w:val="fr-CA"/>
              </w:rPr>
              <w:t>s</w:t>
            </w:r>
          </w:p>
        </w:tc>
      </w:tr>
      <w:tr w:rsidR="00247F2F" w:rsidRPr="00791BF0" w14:paraId="6F707269" w14:textId="77777777" w:rsidTr="00064413">
        <w:trPr>
          <w:trHeight w:val="270"/>
        </w:trPr>
        <w:tc>
          <w:tcPr>
            <w:tcW w:w="44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02836C" w14:textId="31B3D2A8" w:rsidR="00247F2F" w:rsidRPr="00791BF0" w:rsidRDefault="00DE0F72" w:rsidP="00064413">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Catégorie Croissance américaine AGF</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578BA60" w14:textId="179BEE5A" w:rsidR="00247F2F" w:rsidRPr="00791BF0" w:rsidRDefault="00A72DA7"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0,90 %</w:t>
            </w:r>
          </w:p>
        </w:tc>
        <w:tc>
          <w:tcPr>
            <w:tcW w:w="20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392BD2E" w14:textId="1536057B" w:rsidR="00247F2F" w:rsidRPr="00791BF0" w:rsidRDefault="00A72DA7"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0,90 %</w:t>
            </w:r>
          </w:p>
        </w:tc>
      </w:tr>
      <w:tr w:rsidR="00247F2F" w:rsidRPr="00791BF0" w14:paraId="4A9DEDCD" w14:textId="77777777" w:rsidTr="00064413">
        <w:trPr>
          <w:trHeight w:val="255"/>
        </w:trPr>
        <w:tc>
          <w:tcPr>
            <w:tcW w:w="8270" w:type="dxa"/>
            <w:gridSpan w:val="3"/>
            <w:tcBorders>
              <w:top w:val="nil"/>
              <w:left w:val="single" w:sz="8" w:space="0" w:color="auto"/>
              <w:bottom w:val="single" w:sz="8" w:space="0" w:color="auto"/>
              <w:right w:val="single" w:sz="8" w:space="0" w:color="auto"/>
            </w:tcBorders>
            <w:shd w:val="clear" w:color="auto" w:fill="F47E20"/>
            <w:noWrap/>
            <w:tcMar>
              <w:top w:w="0" w:type="dxa"/>
              <w:left w:w="108" w:type="dxa"/>
              <w:bottom w:w="0" w:type="dxa"/>
              <w:right w:w="108" w:type="dxa"/>
            </w:tcMar>
            <w:vAlign w:val="center"/>
            <w:hideMark/>
          </w:tcPr>
          <w:p w14:paraId="47E22B24" w14:textId="0F7616B8" w:rsidR="00247F2F" w:rsidRPr="00791BF0" w:rsidRDefault="00DE0F72" w:rsidP="00064413">
            <w:pPr>
              <w:pStyle w:val="xmsonormal"/>
              <w:spacing w:before="0" w:beforeAutospacing="0" w:after="0" w:afterAutospacing="0" w:line="252" w:lineRule="auto"/>
              <w:jc w:val="center"/>
              <w:rPr>
                <w:color w:val="212121"/>
                <w:lang w:val="fr-CA"/>
              </w:rPr>
            </w:pPr>
            <w:r w:rsidRPr="00791BF0">
              <w:rPr>
                <w:rFonts w:ascii="Arial" w:hAnsi="Arial" w:cs="Arial"/>
                <w:b/>
                <w:bCs/>
                <w:color w:val="000000"/>
                <w:sz w:val="20"/>
                <w:szCs w:val="20"/>
                <w:lang w:val="fr-CA"/>
              </w:rPr>
              <w:t>Fonds spécialisés</w:t>
            </w:r>
          </w:p>
        </w:tc>
      </w:tr>
      <w:tr w:rsidR="00247F2F" w:rsidRPr="00791BF0" w14:paraId="479262C8" w14:textId="77777777" w:rsidTr="00064413">
        <w:trPr>
          <w:trHeight w:val="270"/>
        </w:trPr>
        <w:tc>
          <w:tcPr>
            <w:tcW w:w="440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27B8B6A1" w14:textId="3916A478" w:rsidR="00247F2F" w:rsidRPr="00791BF0" w:rsidRDefault="00DE0F72" w:rsidP="00064413">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Fonds de répartition flexible de l’actif AGF</w:t>
            </w:r>
          </w:p>
        </w:tc>
        <w:tc>
          <w:tcPr>
            <w:tcW w:w="180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7442FA34" w14:textId="3A4D722E" w:rsidR="00247F2F" w:rsidRPr="00791BF0" w:rsidRDefault="00A72DA7"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0,85 %</w:t>
            </w:r>
          </w:p>
        </w:tc>
        <w:tc>
          <w:tcPr>
            <w:tcW w:w="207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4885942D" w14:textId="19C430C5" w:rsidR="00247F2F" w:rsidRPr="00791BF0" w:rsidRDefault="00A72DA7"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0,85 %</w:t>
            </w:r>
          </w:p>
        </w:tc>
      </w:tr>
      <w:tr w:rsidR="00247F2F" w:rsidRPr="00791BF0" w14:paraId="5732EA5B" w14:textId="77777777" w:rsidTr="00064413">
        <w:trPr>
          <w:trHeight w:val="270"/>
        </w:trPr>
        <w:tc>
          <w:tcPr>
            <w:tcW w:w="440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5E463BA" w14:textId="1656376F" w:rsidR="00247F2F" w:rsidRPr="00791BF0" w:rsidRDefault="00DE0F72" w:rsidP="00064413">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Fonds d’actions mondiales Croissance durable AGF</w:t>
            </w:r>
          </w:p>
        </w:tc>
        <w:tc>
          <w:tcPr>
            <w:tcW w:w="18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D2C4F1" w14:textId="5A4F6922" w:rsidR="00247F2F" w:rsidRPr="00791BF0" w:rsidRDefault="00A72DA7"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0,90 %</w:t>
            </w:r>
          </w:p>
        </w:tc>
        <w:tc>
          <w:tcPr>
            <w:tcW w:w="20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1DA1A61" w14:textId="7A7A836F" w:rsidR="00247F2F" w:rsidRPr="00791BF0" w:rsidRDefault="00A72DA7"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1,00 % à 0,90 %</w:t>
            </w:r>
          </w:p>
        </w:tc>
      </w:tr>
    </w:tbl>
    <w:p w14:paraId="57558D48" w14:textId="77777777" w:rsidR="00247F2F" w:rsidRPr="00791BF0" w:rsidRDefault="00247F2F" w:rsidP="00247F2F">
      <w:pPr>
        <w:rPr>
          <w:rFonts w:ascii="Arial" w:hAnsi="Arial" w:cs="Arial"/>
          <w:sz w:val="20"/>
          <w:szCs w:val="20"/>
          <w:lang w:val="fr-CA"/>
        </w:rPr>
      </w:pPr>
    </w:p>
    <w:p w14:paraId="0819F666" w14:textId="77777777" w:rsidR="00247F2F" w:rsidRPr="00791BF0" w:rsidRDefault="00247F2F" w:rsidP="00247F2F">
      <w:pPr>
        <w:rPr>
          <w:rFonts w:ascii="Calibri" w:hAnsi="Calibri" w:cs="Times New Roman"/>
          <w:color w:val="1F497D"/>
          <w:lang w:val="fr-CA"/>
        </w:rPr>
      </w:pPr>
    </w:p>
    <w:p w14:paraId="670E6877" w14:textId="77777777" w:rsidR="00247F2F" w:rsidRPr="00791BF0" w:rsidRDefault="00247F2F" w:rsidP="00247F2F">
      <w:pPr>
        <w:rPr>
          <w:color w:val="1F497D"/>
          <w:lang w:val="fr-CA"/>
        </w:rPr>
      </w:pPr>
    </w:p>
    <w:p w14:paraId="2ECA8D06" w14:textId="77777777" w:rsidR="00247F2F" w:rsidRPr="00791BF0" w:rsidRDefault="00247F2F" w:rsidP="00247F2F">
      <w:pPr>
        <w:rPr>
          <w:color w:val="1F497D"/>
          <w:lang w:val="fr-CA"/>
        </w:rPr>
      </w:pPr>
    </w:p>
    <w:p w14:paraId="2B90F952" w14:textId="77777777" w:rsidR="00247F2F" w:rsidRPr="00791BF0" w:rsidRDefault="00247F2F" w:rsidP="00247F2F">
      <w:pPr>
        <w:rPr>
          <w:color w:val="1F497D"/>
          <w:lang w:val="fr-CA"/>
        </w:rPr>
      </w:pPr>
    </w:p>
    <w:p w14:paraId="73B985F8" w14:textId="77777777" w:rsidR="00247F2F" w:rsidRPr="00791BF0" w:rsidRDefault="00247F2F" w:rsidP="00247F2F">
      <w:pPr>
        <w:rPr>
          <w:color w:val="1F497D"/>
          <w:lang w:val="fr-CA"/>
        </w:rPr>
      </w:pPr>
    </w:p>
    <w:p w14:paraId="2F556A5D" w14:textId="77777777" w:rsidR="00247F2F" w:rsidRPr="00791BF0" w:rsidRDefault="00247F2F" w:rsidP="00247F2F">
      <w:pPr>
        <w:rPr>
          <w:color w:val="1F497D"/>
          <w:lang w:val="fr-CA"/>
        </w:rPr>
      </w:pPr>
    </w:p>
    <w:p w14:paraId="7ADE4195" w14:textId="77777777" w:rsidR="00247F2F" w:rsidRPr="00791BF0" w:rsidRDefault="00247F2F" w:rsidP="00247F2F">
      <w:pPr>
        <w:rPr>
          <w:color w:val="1F497D"/>
          <w:lang w:val="fr-CA"/>
        </w:rPr>
      </w:pPr>
    </w:p>
    <w:p w14:paraId="3B86DC21" w14:textId="77777777" w:rsidR="00247F2F" w:rsidRPr="00791BF0" w:rsidRDefault="00247F2F" w:rsidP="00247F2F">
      <w:pPr>
        <w:rPr>
          <w:color w:val="1F497D"/>
          <w:lang w:val="fr-CA"/>
        </w:rPr>
      </w:pPr>
    </w:p>
    <w:p w14:paraId="3FB7A026" w14:textId="77777777" w:rsidR="00247F2F" w:rsidRPr="00791BF0" w:rsidRDefault="00247F2F" w:rsidP="00247F2F">
      <w:pPr>
        <w:rPr>
          <w:color w:val="1F497D"/>
          <w:lang w:val="fr-CA"/>
        </w:rPr>
      </w:pPr>
    </w:p>
    <w:tbl>
      <w:tblPr>
        <w:tblpPr w:leftFromText="180" w:rightFromText="180" w:vertAnchor="text"/>
        <w:tblW w:w="8270" w:type="dxa"/>
        <w:shd w:val="clear" w:color="auto" w:fill="FFFFFF"/>
        <w:tblCellMar>
          <w:left w:w="0" w:type="dxa"/>
          <w:right w:w="0" w:type="dxa"/>
        </w:tblCellMar>
        <w:tblLook w:val="04A0" w:firstRow="1" w:lastRow="0" w:firstColumn="1" w:lastColumn="0" w:noHBand="0" w:noVBand="1"/>
      </w:tblPr>
      <w:tblGrid>
        <w:gridCol w:w="4370"/>
        <w:gridCol w:w="1820"/>
        <w:gridCol w:w="2080"/>
      </w:tblGrid>
      <w:tr w:rsidR="00ED05A6" w:rsidRPr="00791BF0" w14:paraId="263DED2E" w14:textId="77777777" w:rsidTr="00064413">
        <w:trPr>
          <w:trHeight w:val="255"/>
        </w:trPr>
        <w:tc>
          <w:tcPr>
            <w:tcW w:w="4370" w:type="dxa"/>
            <w:tcBorders>
              <w:top w:val="single" w:sz="8" w:space="0" w:color="auto"/>
              <w:left w:val="single" w:sz="8" w:space="0" w:color="auto"/>
              <w:bottom w:val="single" w:sz="8" w:space="0" w:color="auto"/>
              <w:right w:val="single" w:sz="8" w:space="0" w:color="auto"/>
            </w:tcBorders>
            <w:shd w:val="clear" w:color="auto" w:fill="ED5A36"/>
            <w:noWrap/>
            <w:tcMar>
              <w:top w:w="0" w:type="dxa"/>
              <w:left w:w="108" w:type="dxa"/>
              <w:bottom w:w="0" w:type="dxa"/>
              <w:right w:w="108" w:type="dxa"/>
            </w:tcMar>
            <w:vAlign w:val="center"/>
            <w:hideMark/>
          </w:tcPr>
          <w:p w14:paraId="0287BA8F" w14:textId="2662C99A" w:rsidR="00ED05A6" w:rsidRPr="00791BF0" w:rsidRDefault="00ED05A6" w:rsidP="00ED05A6">
            <w:pPr>
              <w:pStyle w:val="xmsonormal"/>
              <w:spacing w:before="0" w:beforeAutospacing="0" w:after="0" w:afterAutospacing="0" w:line="252" w:lineRule="auto"/>
              <w:rPr>
                <w:color w:val="212121"/>
                <w:lang w:val="fr-CA"/>
              </w:rPr>
            </w:pPr>
            <w:r w:rsidRPr="00791BF0">
              <w:rPr>
                <w:rFonts w:ascii="Arial" w:hAnsi="Arial" w:cs="Arial"/>
                <w:b/>
                <w:bCs/>
                <w:color w:val="FFFFFF"/>
                <w:sz w:val="20"/>
                <w:szCs w:val="20"/>
                <w:lang w:val="fr-CA"/>
              </w:rPr>
              <w:t>Fonds</w:t>
            </w:r>
          </w:p>
        </w:tc>
        <w:tc>
          <w:tcPr>
            <w:tcW w:w="1820" w:type="dxa"/>
            <w:tcBorders>
              <w:top w:val="single" w:sz="8" w:space="0" w:color="auto"/>
              <w:left w:val="nil"/>
              <w:bottom w:val="single" w:sz="8" w:space="0" w:color="auto"/>
              <w:right w:val="single" w:sz="8" w:space="0" w:color="auto"/>
            </w:tcBorders>
            <w:shd w:val="clear" w:color="auto" w:fill="ED5A36"/>
            <w:noWrap/>
            <w:tcMar>
              <w:top w:w="0" w:type="dxa"/>
              <w:left w:w="108" w:type="dxa"/>
              <w:bottom w:w="0" w:type="dxa"/>
              <w:right w:w="108" w:type="dxa"/>
            </w:tcMar>
            <w:vAlign w:val="center"/>
            <w:hideMark/>
          </w:tcPr>
          <w:p w14:paraId="2C0CB0E1" w14:textId="55609A6F" w:rsidR="00ED05A6" w:rsidRPr="00791BF0" w:rsidRDefault="00ED05A6" w:rsidP="00ED05A6">
            <w:pPr>
              <w:pStyle w:val="xmsonormal"/>
              <w:spacing w:before="0" w:beforeAutospacing="0" w:after="0" w:afterAutospacing="0" w:line="252" w:lineRule="auto"/>
              <w:jc w:val="center"/>
              <w:rPr>
                <w:color w:val="212121"/>
                <w:lang w:val="fr-CA"/>
              </w:rPr>
            </w:pPr>
            <w:r w:rsidRPr="00791BF0">
              <w:rPr>
                <w:rFonts w:ascii="Arial" w:hAnsi="Arial" w:cs="Arial"/>
                <w:b/>
                <w:bCs/>
                <w:color w:val="FFFFFF"/>
                <w:sz w:val="20"/>
                <w:szCs w:val="20"/>
                <w:lang w:val="fr-CA"/>
              </w:rPr>
              <w:t>Série Q</w:t>
            </w:r>
          </w:p>
        </w:tc>
        <w:tc>
          <w:tcPr>
            <w:tcW w:w="2080" w:type="dxa"/>
            <w:tcBorders>
              <w:top w:val="single" w:sz="8" w:space="0" w:color="auto"/>
              <w:left w:val="nil"/>
              <w:bottom w:val="single" w:sz="8" w:space="0" w:color="auto"/>
              <w:right w:val="single" w:sz="8" w:space="0" w:color="auto"/>
            </w:tcBorders>
            <w:shd w:val="clear" w:color="auto" w:fill="ED5A36"/>
            <w:noWrap/>
            <w:tcMar>
              <w:top w:w="0" w:type="dxa"/>
              <w:left w:w="108" w:type="dxa"/>
              <w:bottom w:w="0" w:type="dxa"/>
              <w:right w:w="108" w:type="dxa"/>
            </w:tcMar>
            <w:vAlign w:val="center"/>
            <w:hideMark/>
          </w:tcPr>
          <w:p w14:paraId="7DEA72AA" w14:textId="146EA1EF" w:rsidR="00ED05A6" w:rsidRPr="00791BF0" w:rsidRDefault="00ED05A6" w:rsidP="00ED05A6">
            <w:pPr>
              <w:pStyle w:val="xmsonormal"/>
              <w:spacing w:before="0" w:beforeAutospacing="0" w:after="0" w:afterAutospacing="0" w:line="252" w:lineRule="auto"/>
              <w:jc w:val="center"/>
              <w:rPr>
                <w:color w:val="212121"/>
                <w:lang w:val="fr-CA"/>
              </w:rPr>
            </w:pPr>
            <w:r w:rsidRPr="00791BF0">
              <w:rPr>
                <w:rFonts w:ascii="Arial" w:hAnsi="Arial" w:cs="Arial"/>
                <w:b/>
                <w:bCs/>
                <w:color w:val="FFFFFF"/>
                <w:sz w:val="20"/>
                <w:szCs w:val="20"/>
                <w:lang w:val="fr-CA"/>
              </w:rPr>
              <w:t>Série W</w:t>
            </w:r>
          </w:p>
        </w:tc>
      </w:tr>
      <w:tr w:rsidR="00247F2F" w:rsidRPr="00791BF0" w14:paraId="6C1DC750" w14:textId="77777777" w:rsidTr="00064413">
        <w:trPr>
          <w:trHeight w:val="255"/>
        </w:trPr>
        <w:tc>
          <w:tcPr>
            <w:tcW w:w="8270" w:type="dxa"/>
            <w:gridSpan w:val="3"/>
            <w:tcBorders>
              <w:top w:val="nil"/>
              <w:left w:val="single" w:sz="8" w:space="0" w:color="auto"/>
              <w:bottom w:val="single" w:sz="8" w:space="0" w:color="auto"/>
              <w:right w:val="single" w:sz="8" w:space="0" w:color="auto"/>
            </w:tcBorders>
            <w:shd w:val="clear" w:color="auto" w:fill="F47E20"/>
            <w:noWrap/>
            <w:tcMar>
              <w:top w:w="0" w:type="dxa"/>
              <w:left w:w="108" w:type="dxa"/>
              <w:bottom w:w="0" w:type="dxa"/>
              <w:right w:w="108" w:type="dxa"/>
            </w:tcMar>
            <w:vAlign w:val="center"/>
            <w:hideMark/>
          </w:tcPr>
          <w:p w14:paraId="30C0B648" w14:textId="27EA4F42" w:rsidR="00247F2F" w:rsidRPr="00791BF0" w:rsidRDefault="00CD3B39" w:rsidP="00064413">
            <w:pPr>
              <w:pStyle w:val="xmsonormal"/>
              <w:spacing w:before="0" w:beforeAutospacing="0" w:after="0" w:afterAutospacing="0" w:line="252" w:lineRule="auto"/>
              <w:jc w:val="center"/>
              <w:rPr>
                <w:color w:val="212121"/>
                <w:lang w:val="fr-CA"/>
              </w:rPr>
            </w:pPr>
            <w:r w:rsidRPr="00791BF0">
              <w:rPr>
                <w:rFonts w:ascii="Arial" w:hAnsi="Arial" w:cs="Arial"/>
                <w:b/>
                <w:bCs/>
                <w:color w:val="000000"/>
                <w:sz w:val="20"/>
                <w:szCs w:val="20"/>
                <w:lang w:val="fr-CA"/>
              </w:rPr>
              <w:t>Fonds d’actions mondiales</w:t>
            </w:r>
          </w:p>
        </w:tc>
      </w:tr>
      <w:tr w:rsidR="00247F2F" w:rsidRPr="00791BF0" w14:paraId="49EF6DF8" w14:textId="77777777" w:rsidTr="00064413">
        <w:trPr>
          <w:trHeight w:val="270"/>
        </w:trPr>
        <w:tc>
          <w:tcPr>
            <w:tcW w:w="43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D743C20" w14:textId="2AAFBD90" w:rsidR="00247F2F" w:rsidRPr="00791BF0" w:rsidRDefault="00CD3B39" w:rsidP="00064413">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Fonds Sélect mondial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F337F66" w14:textId="710AFF0E" w:rsidR="00247F2F" w:rsidRPr="00791BF0" w:rsidRDefault="00CD3B39" w:rsidP="00CD3B39">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2,</w:t>
            </w:r>
            <w:r w:rsidR="00247F2F" w:rsidRPr="00791BF0">
              <w:rPr>
                <w:rFonts w:ascii="Arial" w:hAnsi="Arial" w:cs="Arial"/>
                <w:color w:val="000000"/>
                <w:sz w:val="20"/>
                <w:szCs w:val="20"/>
                <w:lang w:val="fr-CA"/>
              </w:rPr>
              <w:t>35</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à 2,</w:t>
            </w:r>
            <w:r w:rsidR="00247F2F" w:rsidRPr="00791BF0">
              <w:rPr>
                <w:rFonts w:ascii="Arial" w:hAnsi="Arial" w:cs="Arial"/>
                <w:color w:val="000000"/>
                <w:sz w:val="20"/>
                <w:szCs w:val="20"/>
                <w:lang w:val="fr-CA"/>
              </w:rPr>
              <w:t>00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5AB5BD8" w14:textId="77777777" w:rsidR="00247F2F" w:rsidRPr="00791BF0" w:rsidRDefault="00247F2F"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w:t>
            </w:r>
          </w:p>
        </w:tc>
      </w:tr>
      <w:tr w:rsidR="00247F2F" w:rsidRPr="00791BF0" w14:paraId="0F3A2C5B" w14:textId="77777777" w:rsidTr="00064413">
        <w:trPr>
          <w:trHeight w:val="255"/>
        </w:trPr>
        <w:tc>
          <w:tcPr>
            <w:tcW w:w="8270" w:type="dxa"/>
            <w:gridSpan w:val="3"/>
            <w:tcBorders>
              <w:top w:val="nil"/>
              <w:left w:val="single" w:sz="8" w:space="0" w:color="auto"/>
              <w:bottom w:val="single" w:sz="8" w:space="0" w:color="auto"/>
              <w:right w:val="single" w:sz="8" w:space="0" w:color="auto"/>
            </w:tcBorders>
            <w:shd w:val="clear" w:color="auto" w:fill="F47E20"/>
            <w:noWrap/>
            <w:tcMar>
              <w:top w:w="0" w:type="dxa"/>
              <w:left w:w="108" w:type="dxa"/>
              <w:bottom w:w="0" w:type="dxa"/>
              <w:right w:w="108" w:type="dxa"/>
            </w:tcMar>
            <w:vAlign w:val="center"/>
            <w:hideMark/>
          </w:tcPr>
          <w:p w14:paraId="015AB0B8" w14:textId="5B9D6F8F" w:rsidR="00247F2F" w:rsidRPr="00791BF0" w:rsidRDefault="00CD3B39" w:rsidP="00064413">
            <w:pPr>
              <w:pStyle w:val="xmsonormal"/>
              <w:spacing w:before="0" w:beforeAutospacing="0" w:after="0" w:afterAutospacing="0" w:line="252" w:lineRule="auto"/>
              <w:jc w:val="center"/>
              <w:rPr>
                <w:color w:val="212121"/>
                <w:lang w:val="fr-CA"/>
              </w:rPr>
            </w:pPr>
            <w:r w:rsidRPr="00791BF0">
              <w:rPr>
                <w:rFonts w:ascii="Arial" w:hAnsi="Arial" w:cs="Arial"/>
                <w:b/>
                <w:bCs/>
                <w:color w:val="000000"/>
                <w:sz w:val="20"/>
                <w:szCs w:val="20"/>
                <w:lang w:val="fr-CA"/>
              </w:rPr>
              <w:t>Fonds de titres à revenu fixe mondiaux</w:t>
            </w:r>
          </w:p>
        </w:tc>
      </w:tr>
      <w:tr w:rsidR="00247F2F" w:rsidRPr="00791BF0" w14:paraId="4B9CCFD9" w14:textId="77777777" w:rsidTr="00064413">
        <w:trPr>
          <w:trHeight w:val="270"/>
        </w:trPr>
        <w:tc>
          <w:tcPr>
            <w:tcW w:w="43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5C46AAA" w14:textId="5D39C57B" w:rsidR="00247F2F" w:rsidRPr="00791BF0" w:rsidRDefault="00CD3B39" w:rsidP="00064413">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Catégorie Obligations à rendement global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B3CC54D" w14:textId="7EB43E04" w:rsidR="00247F2F" w:rsidRPr="00791BF0" w:rsidRDefault="00CD3B39" w:rsidP="00CD3B39">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w:t>
            </w:r>
            <w:r w:rsidR="00247F2F" w:rsidRPr="00791BF0">
              <w:rPr>
                <w:rFonts w:ascii="Arial" w:hAnsi="Arial" w:cs="Arial"/>
                <w:color w:val="000000"/>
                <w:sz w:val="20"/>
                <w:szCs w:val="20"/>
                <w:lang w:val="fr-CA"/>
              </w:rPr>
              <w:t>50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à 1,</w:t>
            </w:r>
            <w:r w:rsidR="00247F2F" w:rsidRPr="00791BF0">
              <w:rPr>
                <w:rFonts w:ascii="Arial" w:hAnsi="Arial" w:cs="Arial"/>
                <w:color w:val="000000"/>
                <w:sz w:val="20"/>
                <w:szCs w:val="20"/>
                <w:lang w:val="fr-CA"/>
              </w:rPr>
              <w:t>45</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569EC59" w14:textId="0AC602F8" w:rsidR="00247F2F" w:rsidRPr="00791BF0" w:rsidRDefault="00247F2F" w:rsidP="00CD3B39">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w:t>
            </w:r>
            <w:r w:rsidR="00CD3B39" w:rsidRPr="00791BF0">
              <w:rPr>
                <w:rFonts w:ascii="Arial" w:hAnsi="Arial" w:cs="Arial"/>
                <w:color w:val="000000"/>
                <w:sz w:val="20"/>
                <w:szCs w:val="20"/>
                <w:lang w:val="fr-CA"/>
              </w:rPr>
              <w:t>,</w:t>
            </w:r>
            <w:r w:rsidRPr="00791BF0">
              <w:rPr>
                <w:rFonts w:ascii="Arial" w:hAnsi="Arial" w:cs="Arial"/>
                <w:color w:val="000000"/>
                <w:sz w:val="20"/>
                <w:szCs w:val="20"/>
                <w:lang w:val="fr-CA"/>
              </w:rPr>
              <w:t>90</w:t>
            </w:r>
            <w:r w:rsidR="00CD3B39" w:rsidRPr="00791BF0">
              <w:rPr>
                <w:rFonts w:ascii="Arial" w:hAnsi="Arial" w:cs="Arial"/>
                <w:color w:val="000000"/>
                <w:sz w:val="20"/>
                <w:szCs w:val="20"/>
                <w:lang w:val="fr-CA"/>
              </w:rPr>
              <w:t> </w:t>
            </w:r>
            <w:r w:rsidRPr="00791BF0">
              <w:rPr>
                <w:rFonts w:ascii="Arial" w:hAnsi="Arial" w:cs="Arial"/>
                <w:color w:val="000000"/>
                <w:sz w:val="20"/>
                <w:szCs w:val="20"/>
                <w:lang w:val="fr-CA"/>
              </w:rPr>
              <w:t xml:space="preserve">% </w:t>
            </w:r>
            <w:r w:rsidR="00CD3B39" w:rsidRPr="00791BF0">
              <w:rPr>
                <w:rFonts w:ascii="Arial" w:hAnsi="Arial" w:cs="Arial"/>
                <w:color w:val="000000"/>
                <w:sz w:val="20"/>
                <w:szCs w:val="20"/>
                <w:lang w:val="fr-CA"/>
              </w:rPr>
              <w:t>à 0,</w:t>
            </w:r>
            <w:r w:rsidRPr="00791BF0">
              <w:rPr>
                <w:rFonts w:ascii="Arial" w:hAnsi="Arial" w:cs="Arial"/>
                <w:color w:val="000000"/>
                <w:sz w:val="20"/>
                <w:szCs w:val="20"/>
                <w:lang w:val="fr-CA"/>
              </w:rPr>
              <w:t>75</w:t>
            </w:r>
            <w:r w:rsidR="00CD3B39" w:rsidRPr="00791BF0">
              <w:rPr>
                <w:rFonts w:ascii="Arial" w:hAnsi="Arial" w:cs="Arial"/>
                <w:color w:val="000000"/>
                <w:sz w:val="20"/>
                <w:szCs w:val="20"/>
                <w:lang w:val="fr-CA"/>
              </w:rPr>
              <w:t> </w:t>
            </w:r>
            <w:r w:rsidRPr="00791BF0">
              <w:rPr>
                <w:rFonts w:ascii="Arial" w:hAnsi="Arial" w:cs="Arial"/>
                <w:color w:val="000000"/>
                <w:sz w:val="20"/>
                <w:szCs w:val="20"/>
                <w:lang w:val="fr-CA"/>
              </w:rPr>
              <w:t>%</w:t>
            </w:r>
          </w:p>
        </w:tc>
      </w:tr>
      <w:tr w:rsidR="00247F2F" w:rsidRPr="00791BF0" w14:paraId="7078D123" w14:textId="77777777" w:rsidTr="00064413">
        <w:trPr>
          <w:trHeight w:val="270"/>
        </w:trPr>
        <w:tc>
          <w:tcPr>
            <w:tcW w:w="43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9DE968A" w14:textId="78D3F3B5" w:rsidR="00247F2F" w:rsidRPr="00791BF0" w:rsidRDefault="00CD3B39" w:rsidP="00064413">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Fonds d’obligations à rendement global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421CC0" w14:textId="5E1FBD62" w:rsidR="00247F2F" w:rsidRPr="00791BF0" w:rsidRDefault="00CD3B39"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1,50 % à 1,45 %</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255CBD0" w14:textId="35310CCA" w:rsidR="00247F2F" w:rsidRPr="00791BF0" w:rsidRDefault="00CD3B39" w:rsidP="00064413">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0,90 % à 0,75 %</w:t>
            </w:r>
          </w:p>
        </w:tc>
      </w:tr>
      <w:tr w:rsidR="00247F2F" w:rsidRPr="00791BF0" w14:paraId="14421E29" w14:textId="77777777" w:rsidTr="00064413">
        <w:trPr>
          <w:trHeight w:val="255"/>
        </w:trPr>
        <w:tc>
          <w:tcPr>
            <w:tcW w:w="8270" w:type="dxa"/>
            <w:gridSpan w:val="3"/>
            <w:tcBorders>
              <w:top w:val="nil"/>
              <w:left w:val="single" w:sz="8" w:space="0" w:color="auto"/>
              <w:bottom w:val="single" w:sz="8" w:space="0" w:color="auto"/>
              <w:right w:val="single" w:sz="8" w:space="0" w:color="auto"/>
            </w:tcBorders>
            <w:shd w:val="clear" w:color="auto" w:fill="F47E20"/>
            <w:noWrap/>
            <w:tcMar>
              <w:top w:w="0" w:type="dxa"/>
              <w:left w:w="108" w:type="dxa"/>
              <w:bottom w:w="0" w:type="dxa"/>
              <w:right w:w="108" w:type="dxa"/>
            </w:tcMar>
            <w:vAlign w:val="center"/>
            <w:hideMark/>
          </w:tcPr>
          <w:p w14:paraId="65FC1F1A" w14:textId="09A034C0" w:rsidR="00247F2F" w:rsidRPr="00791BF0" w:rsidRDefault="00CD3B39" w:rsidP="00064413">
            <w:pPr>
              <w:pStyle w:val="xmsonormal"/>
              <w:spacing w:before="0" w:beforeAutospacing="0" w:after="0" w:afterAutospacing="0" w:line="252" w:lineRule="auto"/>
              <w:jc w:val="center"/>
              <w:rPr>
                <w:color w:val="212121"/>
                <w:lang w:val="fr-CA"/>
              </w:rPr>
            </w:pPr>
            <w:r w:rsidRPr="00791BF0">
              <w:rPr>
                <w:rFonts w:ascii="Arial" w:hAnsi="Arial" w:cs="Arial"/>
                <w:b/>
                <w:bCs/>
                <w:color w:val="000000"/>
                <w:sz w:val="20"/>
                <w:szCs w:val="20"/>
                <w:lang w:val="fr-CA"/>
              </w:rPr>
              <w:lastRenderedPageBreak/>
              <w:t>Fonds d’actions américaines</w:t>
            </w:r>
          </w:p>
        </w:tc>
      </w:tr>
      <w:tr w:rsidR="00247F2F" w:rsidRPr="00791BF0" w14:paraId="207C8090" w14:textId="77777777" w:rsidTr="00064413">
        <w:trPr>
          <w:trHeight w:val="270"/>
        </w:trPr>
        <w:tc>
          <w:tcPr>
            <w:tcW w:w="43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8BCC15" w14:textId="4CDBC3C2" w:rsidR="00247F2F" w:rsidRPr="00791BF0" w:rsidRDefault="00CD3B39" w:rsidP="00064413">
            <w:pPr>
              <w:pStyle w:val="xmsonormal"/>
              <w:spacing w:before="0" w:beforeAutospacing="0" w:after="0" w:afterAutospacing="0" w:line="252" w:lineRule="auto"/>
              <w:rPr>
                <w:color w:val="212121"/>
                <w:lang w:val="fr-CA"/>
              </w:rPr>
            </w:pPr>
            <w:r w:rsidRPr="00791BF0">
              <w:rPr>
                <w:rFonts w:ascii="Arial" w:hAnsi="Arial" w:cs="Arial"/>
                <w:color w:val="000000"/>
                <w:sz w:val="20"/>
                <w:szCs w:val="20"/>
                <w:lang w:val="fr-CA"/>
              </w:rPr>
              <w:t>Catégorie Secteurs américains AGF</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9211C84" w14:textId="14083483" w:rsidR="00247F2F" w:rsidRPr="00791BF0" w:rsidRDefault="00CD3B39" w:rsidP="00CD3B39">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2,</w:t>
            </w:r>
            <w:r w:rsidR="00247F2F" w:rsidRPr="00791BF0">
              <w:rPr>
                <w:rFonts w:ascii="Arial" w:hAnsi="Arial" w:cs="Arial"/>
                <w:color w:val="000000"/>
                <w:sz w:val="20"/>
                <w:szCs w:val="20"/>
                <w:lang w:val="fr-CA"/>
              </w:rPr>
              <w:t>20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 xml:space="preserve">% </w:t>
            </w:r>
            <w:r w:rsidRPr="00791BF0">
              <w:rPr>
                <w:rFonts w:ascii="Arial" w:hAnsi="Arial" w:cs="Arial"/>
                <w:color w:val="000000"/>
                <w:sz w:val="20"/>
                <w:szCs w:val="20"/>
                <w:lang w:val="fr-CA"/>
              </w:rPr>
              <w:t>à 2,</w:t>
            </w:r>
            <w:r w:rsidR="00247F2F" w:rsidRPr="00791BF0">
              <w:rPr>
                <w:rFonts w:ascii="Arial" w:hAnsi="Arial" w:cs="Arial"/>
                <w:color w:val="000000"/>
                <w:sz w:val="20"/>
                <w:szCs w:val="20"/>
                <w:lang w:val="fr-CA"/>
              </w:rPr>
              <w:t>00</w:t>
            </w:r>
            <w:r w:rsidRPr="00791BF0">
              <w:rPr>
                <w:rFonts w:ascii="Arial" w:hAnsi="Arial" w:cs="Arial"/>
                <w:color w:val="000000"/>
                <w:sz w:val="20"/>
                <w:szCs w:val="20"/>
                <w:lang w:val="fr-CA"/>
              </w:rPr>
              <w:t> </w:t>
            </w:r>
            <w:r w:rsidR="00247F2F" w:rsidRPr="00791BF0">
              <w:rPr>
                <w:rFonts w:ascii="Arial" w:hAnsi="Arial" w:cs="Arial"/>
                <w:color w:val="000000"/>
                <w:sz w:val="20"/>
                <w:szCs w:val="20"/>
                <w:lang w:val="fr-CA"/>
              </w:rPr>
              <w:t>%</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64FDA74" w14:textId="654B7F76" w:rsidR="00247F2F" w:rsidRPr="00791BF0" w:rsidRDefault="00247F2F" w:rsidP="00CD3B39">
            <w:pPr>
              <w:pStyle w:val="xmsonormal"/>
              <w:spacing w:before="0" w:beforeAutospacing="0" w:after="0" w:afterAutospacing="0" w:line="252" w:lineRule="auto"/>
              <w:jc w:val="center"/>
              <w:rPr>
                <w:color w:val="212121"/>
                <w:lang w:val="fr-CA"/>
              </w:rPr>
            </w:pPr>
            <w:r w:rsidRPr="00791BF0">
              <w:rPr>
                <w:rFonts w:ascii="Arial" w:hAnsi="Arial" w:cs="Arial"/>
                <w:color w:val="000000"/>
                <w:sz w:val="20"/>
                <w:szCs w:val="20"/>
                <w:lang w:val="fr-CA"/>
              </w:rPr>
              <w:t>1</w:t>
            </w:r>
            <w:r w:rsidR="00CD3B39" w:rsidRPr="00791BF0">
              <w:rPr>
                <w:rFonts w:ascii="Arial" w:hAnsi="Arial" w:cs="Arial"/>
                <w:color w:val="000000"/>
                <w:sz w:val="20"/>
                <w:szCs w:val="20"/>
                <w:lang w:val="fr-CA"/>
              </w:rPr>
              <w:t>,</w:t>
            </w:r>
            <w:r w:rsidRPr="00791BF0">
              <w:rPr>
                <w:rFonts w:ascii="Arial" w:hAnsi="Arial" w:cs="Arial"/>
                <w:color w:val="000000"/>
                <w:sz w:val="20"/>
                <w:szCs w:val="20"/>
                <w:lang w:val="fr-CA"/>
              </w:rPr>
              <w:t>20</w:t>
            </w:r>
            <w:r w:rsidR="00CD3B39" w:rsidRPr="00791BF0">
              <w:rPr>
                <w:rFonts w:ascii="Arial" w:hAnsi="Arial" w:cs="Arial"/>
                <w:color w:val="000000"/>
                <w:sz w:val="20"/>
                <w:szCs w:val="20"/>
                <w:lang w:val="fr-CA"/>
              </w:rPr>
              <w:t> </w:t>
            </w:r>
            <w:r w:rsidRPr="00791BF0">
              <w:rPr>
                <w:rFonts w:ascii="Arial" w:hAnsi="Arial" w:cs="Arial"/>
                <w:color w:val="000000"/>
                <w:sz w:val="20"/>
                <w:szCs w:val="20"/>
                <w:lang w:val="fr-CA"/>
              </w:rPr>
              <w:t xml:space="preserve">% </w:t>
            </w:r>
            <w:r w:rsidR="00CD3B39" w:rsidRPr="00791BF0">
              <w:rPr>
                <w:rFonts w:ascii="Arial" w:hAnsi="Arial" w:cs="Arial"/>
                <w:color w:val="000000"/>
                <w:sz w:val="20"/>
                <w:szCs w:val="20"/>
                <w:lang w:val="fr-CA"/>
              </w:rPr>
              <w:t>à 1,</w:t>
            </w:r>
            <w:r w:rsidRPr="00791BF0">
              <w:rPr>
                <w:rFonts w:ascii="Arial" w:hAnsi="Arial" w:cs="Arial"/>
                <w:color w:val="000000"/>
                <w:sz w:val="20"/>
                <w:szCs w:val="20"/>
                <w:lang w:val="fr-CA"/>
              </w:rPr>
              <w:t>00</w:t>
            </w:r>
            <w:r w:rsidR="00CD3B39" w:rsidRPr="00791BF0">
              <w:rPr>
                <w:rFonts w:ascii="Arial" w:hAnsi="Arial" w:cs="Arial"/>
                <w:color w:val="000000"/>
                <w:sz w:val="20"/>
                <w:szCs w:val="20"/>
                <w:lang w:val="fr-CA"/>
              </w:rPr>
              <w:t> </w:t>
            </w:r>
            <w:r w:rsidRPr="00791BF0">
              <w:rPr>
                <w:rFonts w:ascii="Arial" w:hAnsi="Arial" w:cs="Arial"/>
                <w:color w:val="000000"/>
                <w:sz w:val="20"/>
                <w:szCs w:val="20"/>
                <w:lang w:val="fr-CA"/>
              </w:rPr>
              <w:t>%</w:t>
            </w:r>
          </w:p>
        </w:tc>
      </w:tr>
    </w:tbl>
    <w:p w14:paraId="635CE7C8" w14:textId="77777777" w:rsidR="00247F2F" w:rsidRPr="00791BF0" w:rsidRDefault="00247F2F" w:rsidP="00247F2F">
      <w:pPr>
        <w:rPr>
          <w:rFonts w:ascii="Calibri" w:hAnsi="Calibri"/>
          <w:color w:val="1F497D"/>
          <w:lang w:val="fr-CA"/>
        </w:rPr>
      </w:pPr>
    </w:p>
    <w:p w14:paraId="7E34CAD4" w14:textId="77777777" w:rsidR="00247F2F" w:rsidRPr="00791BF0" w:rsidRDefault="00247F2F" w:rsidP="00247F2F">
      <w:pPr>
        <w:rPr>
          <w:color w:val="1F497D"/>
          <w:lang w:val="fr-CA"/>
        </w:rPr>
      </w:pPr>
    </w:p>
    <w:p w14:paraId="4A562BCA" w14:textId="77777777" w:rsidR="00247F2F" w:rsidRPr="00791BF0" w:rsidRDefault="00247F2F" w:rsidP="00247F2F">
      <w:pPr>
        <w:pStyle w:val="NoSpacing"/>
        <w:rPr>
          <w:rFonts w:ascii="Arial" w:hAnsi="Arial" w:cs="Arial"/>
          <w:b/>
          <w:sz w:val="20"/>
          <w:szCs w:val="20"/>
          <w:lang w:val="fr-CA"/>
        </w:rPr>
      </w:pPr>
    </w:p>
    <w:p w14:paraId="66DAB920" w14:textId="77777777" w:rsidR="00247F2F" w:rsidRPr="00791BF0" w:rsidRDefault="00247F2F" w:rsidP="00247F2F">
      <w:pPr>
        <w:pStyle w:val="NoSpacing"/>
        <w:rPr>
          <w:rFonts w:ascii="Arial" w:hAnsi="Arial" w:cs="Arial"/>
          <w:b/>
          <w:sz w:val="20"/>
          <w:szCs w:val="20"/>
          <w:lang w:val="fr-CA"/>
        </w:rPr>
      </w:pPr>
    </w:p>
    <w:p w14:paraId="6FFCEB2C" w14:textId="77777777" w:rsidR="00F03873" w:rsidRPr="00791BF0" w:rsidRDefault="00F03873" w:rsidP="00247F2F">
      <w:pPr>
        <w:rPr>
          <w:rFonts w:ascii="Arial" w:hAnsi="Arial" w:cs="Arial"/>
          <w:bCs/>
          <w:sz w:val="20"/>
          <w:szCs w:val="20"/>
          <w:lang w:val="fr-CA"/>
        </w:rPr>
      </w:pPr>
    </w:p>
    <w:p w14:paraId="54D6DC10" w14:textId="77777777" w:rsidR="00F03873" w:rsidRPr="00791BF0" w:rsidRDefault="00F03873" w:rsidP="00247F2F">
      <w:pPr>
        <w:rPr>
          <w:rFonts w:ascii="Arial" w:hAnsi="Arial" w:cs="Arial"/>
          <w:bCs/>
          <w:sz w:val="20"/>
          <w:szCs w:val="20"/>
          <w:lang w:val="fr-CA"/>
        </w:rPr>
      </w:pPr>
    </w:p>
    <w:p w14:paraId="51C52D00" w14:textId="77777777" w:rsidR="00F03873" w:rsidRPr="00791BF0" w:rsidRDefault="00F03873" w:rsidP="00247F2F">
      <w:pPr>
        <w:rPr>
          <w:rFonts w:ascii="Arial" w:hAnsi="Arial" w:cs="Arial"/>
          <w:bCs/>
          <w:sz w:val="20"/>
          <w:szCs w:val="20"/>
          <w:lang w:val="fr-CA"/>
        </w:rPr>
      </w:pPr>
    </w:p>
    <w:p w14:paraId="145C3504" w14:textId="50973DAC" w:rsidR="00247F2F" w:rsidRPr="00791BF0" w:rsidRDefault="00CD3B39" w:rsidP="00247F2F">
      <w:pPr>
        <w:rPr>
          <w:rFonts w:ascii="Arial" w:hAnsi="Arial" w:cs="Arial"/>
          <w:bCs/>
          <w:sz w:val="20"/>
          <w:szCs w:val="20"/>
          <w:lang w:val="fr-CA"/>
        </w:rPr>
      </w:pPr>
      <w:r w:rsidRPr="00791BF0">
        <w:rPr>
          <w:rFonts w:ascii="Arial" w:hAnsi="Arial" w:cs="Arial"/>
          <w:bCs/>
          <w:sz w:val="20"/>
          <w:szCs w:val="20"/>
          <w:lang w:val="fr-CA"/>
        </w:rPr>
        <w:t xml:space="preserve">« Nous croyons que ces réductions </w:t>
      </w:r>
      <w:r w:rsidR="00F87E54" w:rsidRPr="00791BF0">
        <w:rPr>
          <w:rFonts w:ascii="Arial" w:hAnsi="Arial" w:cs="Arial"/>
          <w:bCs/>
          <w:sz w:val="20"/>
          <w:szCs w:val="20"/>
          <w:lang w:val="fr-CA"/>
        </w:rPr>
        <w:t xml:space="preserve">auront des répercussions positives pour les porteurs de </w:t>
      </w:r>
      <w:r w:rsidR="000302B9">
        <w:rPr>
          <w:rFonts w:ascii="Arial" w:hAnsi="Arial" w:cs="Arial"/>
          <w:bCs/>
          <w:sz w:val="20"/>
          <w:szCs w:val="20"/>
          <w:lang w:val="fr-CA"/>
        </w:rPr>
        <w:t>parts</w:t>
      </w:r>
      <w:r w:rsidR="00F87E54" w:rsidRPr="00791BF0">
        <w:rPr>
          <w:rFonts w:ascii="Arial" w:hAnsi="Arial" w:cs="Arial"/>
          <w:bCs/>
          <w:sz w:val="20"/>
          <w:szCs w:val="20"/>
          <w:lang w:val="fr-CA"/>
        </w:rPr>
        <w:t xml:space="preserve"> AGF, car elles leurs donneront accès à des frais moins élevés et à une plateforme entièrement intégrée, composée de solutions d’investissements de qualité et diversifiés », a ajouté M</w:t>
      </w:r>
      <w:r w:rsidR="00F87E54" w:rsidRPr="00791BF0">
        <w:rPr>
          <w:rFonts w:ascii="Arial" w:hAnsi="Arial" w:cs="Arial"/>
          <w:bCs/>
          <w:sz w:val="20"/>
          <w:szCs w:val="20"/>
          <w:vertAlign w:val="superscript"/>
          <w:lang w:val="fr-CA"/>
        </w:rPr>
        <w:t>me</w:t>
      </w:r>
      <w:r w:rsidR="00F87E54" w:rsidRPr="00791BF0">
        <w:rPr>
          <w:rFonts w:ascii="Arial" w:hAnsi="Arial" w:cs="Arial"/>
          <w:bCs/>
          <w:sz w:val="20"/>
          <w:szCs w:val="20"/>
          <w:lang w:val="fr-CA"/>
        </w:rPr>
        <w:t xml:space="preserve"> Narine.</w:t>
      </w:r>
    </w:p>
    <w:p w14:paraId="306A9007" w14:textId="2FA952F5" w:rsidR="00247F2F" w:rsidRPr="00791BF0" w:rsidRDefault="002B0716" w:rsidP="00247F2F">
      <w:pPr>
        <w:pStyle w:val="NoSpacing"/>
        <w:rPr>
          <w:rFonts w:ascii="Arial" w:hAnsi="Arial" w:cs="Arial"/>
          <w:b/>
          <w:sz w:val="20"/>
          <w:szCs w:val="20"/>
          <w:lang w:val="fr-CA"/>
        </w:rPr>
      </w:pPr>
      <w:r w:rsidRPr="00791BF0">
        <w:rPr>
          <w:rFonts w:ascii="Arial" w:hAnsi="Arial" w:cs="Arial"/>
          <w:b/>
          <w:sz w:val="20"/>
          <w:szCs w:val="20"/>
          <w:lang w:val="fr-CA"/>
        </w:rPr>
        <w:t>Modifications aux cotes de risque</w:t>
      </w:r>
    </w:p>
    <w:p w14:paraId="03243184" w14:textId="77777777" w:rsidR="00247F2F" w:rsidRPr="00791BF0" w:rsidRDefault="00247F2F" w:rsidP="00247F2F">
      <w:pPr>
        <w:pStyle w:val="NoSpacing"/>
        <w:rPr>
          <w:rFonts w:ascii="Arial" w:hAnsi="Arial" w:cs="Arial"/>
          <w:b/>
          <w:sz w:val="20"/>
          <w:szCs w:val="20"/>
          <w:lang w:val="fr-CA"/>
        </w:rPr>
      </w:pPr>
    </w:p>
    <w:p w14:paraId="2273070F" w14:textId="48DC8460" w:rsidR="002B0716" w:rsidRPr="00791BF0" w:rsidRDefault="002B0716" w:rsidP="00247F2F">
      <w:pPr>
        <w:jc w:val="both"/>
        <w:rPr>
          <w:rFonts w:ascii="Arial" w:hAnsi="Arial" w:cs="Arial"/>
          <w:sz w:val="20"/>
          <w:szCs w:val="20"/>
          <w:lang w:val="fr-CA"/>
        </w:rPr>
      </w:pPr>
      <w:r w:rsidRPr="00791BF0">
        <w:rPr>
          <w:rFonts w:ascii="Arial" w:hAnsi="Arial" w:cs="Arial"/>
          <w:sz w:val="20"/>
          <w:szCs w:val="20"/>
          <w:lang w:val="fr-CA"/>
        </w:rPr>
        <w:t>AGF modifie la cote de risque associée à 13 de ses fonds. Onze cotes seront revues à la baisse et deux à la hausse.</w:t>
      </w:r>
    </w:p>
    <w:p w14:paraId="06A6B6EF" w14:textId="3181BAB8" w:rsidR="00247F2F" w:rsidRPr="00791BF0" w:rsidRDefault="002B0716" w:rsidP="00247F2F">
      <w:pPr>
        <w:jc w:val="both"/>
        <w:rPr>
          <w:rFonts w:ascii="Arial" w:hAnsi="Arial" w:cs="Arial"/>
          <w:sz w:val="20"/>
          <w:szCs w:val="20"/>
          <w:lang w:val="fr-CA"/>
        </w:rPr>
      </w:pPr>
      <w:r w:rsidRPr="000302B9">
        <w:rPr>
          <w:rFonts w:ascii="Arial" w:hAnsi="Arial" w:cs="Arial"/>
          <w:sz w:val="20"/>
          <w:szCs w:val="20"/>
          <w:lang w:val="fr-CA"/>
        </w:rPr>
        <w:t>Ces changements ont été adoptés afin d’assurer la conformité avec la méthode de classification du risque pour les OPC, établie par les Autorités canadiennes en valeurs mobilières (ACVM) et entrée en vigueur le 1</w:t>
      </w:r>
      <w:r w:rsidRPr="000302B9">
        <w:rPr>
          <w:rFonts w:ascii="Arial" w:hAnsi="Arial" w:cs="Arial"/>
          <w:sz w:val="20"/>
          <w:szCs w:val="20"/>
          <w:vertAlign w:val="superscript"/>
          <w:lang w:val="fr-CA"/>
        </w:rPr>
        <w:t>er</w:t>
      </w:r>
      <w:r w:rsidRPr="000302B9">
        <w:rPr>
          <w:rFonts w:ascii="Arial" w:hAnsi="Arial" w:cs="Arial"/>
          <w:sz w:val="20"/>
          <w:szCs w:val="20"/>
          <w:lang w:val="fr-CA"/>
        </w:rPr>
        <w:t xml:space="preserve"> septembre 2017. Auparavant, AGF appliquait une méthode de classification du risque fondée sur celle recommandée par L’Institut des fonds d’investissement du Canada. Aucun changement important n’a été apporté </w:t>
      </w:r>
      <w:r w:rsidR="000302B9" w:rsidRPr="000302B9">
        <w:rPr>
          <w:rFonts w:ascii="Arial" w:hAnsi="Arial" w:cs="Arial"/>
          <w:sz w:val="20"/>
          <w:szCs w:val="20"/>
          <w:lang w:val="fr-CA"/>
        </w:rPr>
        <w:t xml:space="preserve">aux </w:t>
      </w:r>
      <w:r w:rsidRPr="000302B9">
        <w:rPr>
          <w:rFonts w:ascii="Arial" w:hAnsi="Arial" w:cs="Arial"/>
          <w:sz w:val="20"/>
          <w:szCs w:val="20"/>
          <w:lang w:val="fr-CA"/>
        </w:rPr>
        <w:t>objectif</w:t>
      </w:r>
      <w:r w:rsidR="000302B9" w:rsidRPr="000302B9">
        <w:rPr>
          <w:rFonts w:ascii="Arial" w:hAnsi="Arial" w:cs="Arial"/>
          <w:sz w:val="20"/>
          <w:szCs w:val="20"/>
          <w:lang w:val="fr-CA"/>
        </w:rPr>
        <w:t>s</w:t>
      </w:r>
      <w:r w:rsidRPr="000302B9">
        <w:rPr>
          <w:rFonts w:ascii="Arial" w:hAnsi="Arial" w:cs="Arial"/>
          <w:sz w:val="20"/>
          <w:szCs w:val="20"/>
          <w:lang w:val="fr-CA"/>
        </w:rPr>
        <w:t xml:space="preserve"> de placement, à la stratégie d’investissement ou à la gestion</w:t>
      </w:r>
      <w:r w:rsidRPr="00791BF0">
        <w:rPr>
          <w:rFonts w:ascii="Arial" w:hAnsi="Arial" w:cs="Arial"/>
          <w:sz w:val="20"/>
          <w:szCs w:val="20"/>
          <w:lang w:val="fr-CA"/>
        </w:rPr>
        <w:t xml:space="preserve"> </w:t>
      </w:r>
      <w:r w:rsidR="0034628D" w:rsidRPr="00791BF0">
        <w:rPr>
          <w:rFonts w:ascii="Arial" w:hAnsi="Arial" w:cs="Arial"/>
          <w:sz w:val="20"/>
          <w:szCs w:val="20"/>
          <w:lang w:val="fr-CA"/>
        </w:rPr>
        <w:t>des fonds</w:t>
      </w:r>
      <w:r w:rsidR="000302B9">
        <w:rPr>
          <w:rFonts w:ascii="Arial" w:hAnsi="Arial" w:cs="Arial"/>
          <w:sz w:val="20"/>
          <w:szCs w:val="20"/>
          <w:lang w:val="fr-CA"/>
        </w:rPr>
        <w:t xml:space="preserve"> en gestion</w:t>
      </w:r>
      <w:r w:rsidRPr="00791BF0">
        <w:rPr>
          <w:rFonts w:ascii="Arial" w:hAnsi="Arial" w:cs="Arial"/>
          <w:sz w:val="20"/>
          <w:szCs w:val="20"/>
          <w:lang w:val="fr-CA"/>
        </w:rPr>
        <w:t xml:space="preserve">. </w:t>
      </w:r>
    </w:p>
    <w:p w14:paraId="44C49556" w14:textId="77777777" w:rsidR="00247F2F" w:rsidRPr="00791BF0" w:rsidRDefault="00247F2F" w:rsidP="00247F2F">
      <w:pPr>
        <w:ind w:left="2835"/>
        <w:jc w:val="both"/>
        <w:rPr>
          <w:rFonts w:ascii="Arial" w:hAnsi="Arial" w:cs="Arial"/>
          <w:sz w:val="20"/>
          <w:szCs w:val="20"/>
          <w:lang w:val="fr-CA"/>
        </w:rPr>
      </w:pPr>
    </w:p>
    <w:tbl>
      <w:tblPr>
        <w:tblStyle w:val="TableGrid1"/>
        <w:tblW w:w="0" w:type="auto"/>
        <w:tblInd w:w="-289" w:type="dxa"/>
        <w:tblLayout w:type="fixed"/>
        <w:tblLook w:val="04A0" w:firstRow="1" w:lastRow="0" w:firstColumn="1" w:lastColumn="0" w:noHBand="0" w:noVBand="1"/>
      </w:tblPr>
      <w:tblGrid>
        <w:gridCol w:w="4395"/>
        <w:gridCol w:w="2569"/>
        <w:gridCol w:w="2675"/>
      </w:tblGrid>
      <w:tr w:rsidR="0034628D" w:rsidRPr="00791BF0" w14:paraId="0F983FBA" w14:textId="77777777" w:rsidTr="00791BF0">
        <w:trPr>
          <w:trHeight w:val="300"/>
        </w:trPr>
        <w:tc>
          <w:tcPr>
            <w:tcW w:w="4395" w:type="dxa"/>
            <w:vAlign w:val="center"/>
          </w:tcPr>
          <w:p w14:paraId="44A1EC05" w14:textId="66F22306" w:rsidR="00247F2F" w:rsidRPr="00791BF0" w:rsidRDefault="0034628D" w:rsidP="00064413">
            <w:pPr>
              <w:rPr>
                <w:rFonts w:ascii="Arial" w:hAnsi="Arial" w:cs="Arial"/>
                <w:b/>
                <w:color w:val="000000"/>
                <w:sz w:val="20"/>
                <w:szCs w:val="20"/>
                <w:lang w:val="fr-CA"/>
              </w:rPr>
            </w:pPr>
            <w:r w:rsidRPr="00791BF0">
              <w:rPr>
                <w:rFonts w:ascii="Arial" w:hAnsi="Arial" w:cs="Arial"/>
                <w:b/>
                <w:color w:val="000000"/>
                <w:sz w:val="20"/>
                <w:szCs w:val="20"/>
                <w:lang w:val="fr-CA"/>
              </w:rPr>
              <w:t>Nom du fonds</w:t>
            </w:r>
          </w:p>
        </w:tc>
        <w:tc>
          <w:tcPr>
            <w:tcW w:w="2569" w:type="dxa"/>
            <w:noWrap/>
            <w:vAlign w:val="center"/>
          </w:tcPr>
          <w:p w14:paraId="12E84540" w14:textId="6D414CDA" w:rsidR="00247F2F" w:rsidRPr="00791BF0" w:rsidRDefault="0034628D" w:rsidP="00064413">
            <w:pPr>
              <w:jc w:val="center"/>
              <w:rPr>
                <w:rFonts w:ascii="Arial" w:hAnsi="Arial" w:cs="Arial"/>
                <w:b/>
                <w:color w:val="000000"/>
                <w:sz w:val="20"/>
                <w:szCs w:val="20"/>
                <w:lang w:val="fr-CA"/>
              </w:rPr>
            </w:pPr>
            <w:r w:rsidRPr="00791BF0">
              <w:rPr>
                <w:rFonts w:ascii="Arial" w:hAnsi="Arial" w:cs="Arial"/>
                <w:b/>
                <w:color w:val="000000"/>
                <w:sz w:val="20"/>
                <w:szCs w:val="20"/>
                <w:lang w:val="fr-CA"/>
              </w:rPr>
              <w:t>Niveau de risque précédent</w:t>
            </w:r>
          </w:p>
        </w:tc>
        <w:tc>
          <w:tcPr>
            <w:tcW w:w="2675" w:type="dxa"/>
            <w:noWrap/>
            <w:vAlign w:val="center"/>
          </w:tcPr>
          <w:p w14:paraId="73B55C06" w14:textId="4FF45D3D" w:rsidR="00247F2F" w:rsidRPr="00791BF0" w:rsidRDefault="0034628D" w:rsidP="0034628D">
            <w:pPr>
              <w:jc w:val="center"/>
              <w:rPr>
                <w:rFonts w:ascii="Arial" w:hAnsi="Arial" w:cs="Arial"/>
                <w:b/>
                <w:color w:val="000000"/>
                <w:sz w:val="20"/>
                <w:szCs w:val="20"/>
                <w:lang w:val="fr-CA"/>
              </w:rPr>
            </w:pPr>
            <w:r w:rsidRPr="00791BF0">
              <w:rPr>
                <w:rFonts w:ascii="Arial" w:hAnsi="Arial" w:cs="Arial"/>
                <w:b/>
                <w:color w:val="000000"/>
                <w:sz w:val="20"/>
                <w:szCs w:val="20"/>
                <w:lang w:val="fr-CA"/>
              </w:rPr>
              <w:t>Nouveau niveau de risque</w:t>
            </w:r>
          </w:p>
        </w:tc>
      </w:tr>
      <w:tr w:rsidR="0034628D" w:rsidRPr="00791BF0" w14:paraId="663C243B" w14:textId="77777777" w:rsidTr="00791BF0">
        <w:trPr>
          <w:trHeight w:val="300"/>
        </w:trPr>
        <w:tc>
          <w:tcPr>
            <w:tcW w:w="4395" w:type="dxa"/>
            <w:vAlign w:val="center"/>
            <w:hideMark/>
          </w:tcPr>
          <w:p w14:paraId="5ED18BA0" w14:textId="2754B94C" w:rsidR="00247F2F" w:rsidRPr="00791BF0" w:rsidRDefault="0034628D" w:rsidP="00064413">
            <w:pPr>
              <w:rPr>
                <w:rFonts w:ascii="Arial" w:hAnsi="Arial" w:cs="Arial"/>
                <w:color w:val="000000"/>
                <w:sz w:val="20"/>
                <w:szCs w:val="20"/>
                <w:lang w:val="fr-CA"/>
              </w:rPr>
            </w:pPr>
            <w:r w:rsidRPr="00791BF0">
              <w:rPr>
                <w:rFonts w:ascii="Arial" w:hAnsi="Arial" w:cs="Arial"/>
                <w:color w:val="000000"/>
                <w:sz w:val="20"/>
                <w:szCs w:val="20"/>
                <w:lang w:val="fr-CA"/>
              </w:rPr>
              <w:t>Fonds canadien de petites capitalisations AGF</w:t>
            </w:r>
          </w:p>
        </w:tc>
        <w:tc>
          <w:tcPr>
            <w:tcW w:w="2569" w:type="dxa"/>
            <w:noWrap/>
            <w:vAlign w:val="center"/>
            <w:hideMark/>
          </w:tcPr>
          <w:p w14:paraId="27E656CA" w14:textId="6F2D181B"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Élevé</w:t>
            </w:r>
          </w:p>
        </w:tc>
        <w:tc>
          <w:tcPr>
            <w:tcW w:w="2675" w:type="dxa"/>
            <w:noWrap/>
            <w:vAlign w:val="center"/>
            <w:hideMark/>
          </w:tcPr>
          <w:p w14:paraId="4A9C38CE" w14:textId="73DEC794"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Moyen à élevé</w:t>
            </w:r>
          </w:p>
        </w:tc>
      </w:tr>
      <w:tr w:rsidR="0034628D" w:rsidRPr="00791BF0" w14:paraId="282F1A3F" w14:textId="77777777" w:rsidTr="00791BF0">
        <w:trPr>
          <w:trHeight w:val="300"/>
        </w:trPr>
        <w:tc>
          <w:tcPr>
            <w:tcW w:w="4395" w:type="dxa"/>
            <w:vAlign w:val="center"/>
            <w:hideMark/>
          </w:tcPr>
          <w:p w14:paraId="2C46CCC4" w14:textId="66825BB8" w:rsidR="00247F2F" w:rsidRPr="00791BF0" w:rsidRDefault="0034628D" w:rsidP="00064413">
            <w:pPr>
              <w:rPr>
                <w:rFonts w:ascii="Arial" w:hAnsi="Arial" w:cs="Arial"/>
                <w:color w:val="000000"/>
                <w:sz w:val="20"/>
                <w:szCs w:val="20"/>
                <w:lang w:val="fr-CA"/>
              </w:rPr>
            </w:pPr>
            <w:r w:rsidRPr="00791BF0">
              <w:rPr>
                <w:rFonts w:ascii="Arial" w:hAnsi="Arial" w:cs="Arial"/>
                <w:color w:val="000000"/>
                <w:sz w:val="20"/>
                <w:szCs w:val="20"/>
                <w:lang w:val="fr-CA"/>
              </w:rPr>
              <w:t>Portefeuille Éléments Conservateur AGF</w:t>
            </w:r>
          </w:p>
        </w:tc>
        <w:tc>
          <w:tcPr>
            <w:tcW w:w="2569" w:type="dxa"/>
            <w:noWrap/>
            <w:vAlign w:val="center"/>
            <w:hideMark/>
          </w:tcPr>
          <w:p w14:paraId="332A532C" w14:textId="17A5F767"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 à moyen</w:t>
            </w:r>
          </w:p>
        </w:tc>
        <w:tc>
          <w:tcPr>
            <w:tcW w:w="2675" w:type="dxa"/>
            <w:noWrap/>
            <w:vAlign w:val="center"/>
            <w:hideMark/>
          </w:tcPr>
          <w:p w14:paraId="79C57BE6" w14:textId="06B5427C"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w:t>
            </w:r>
          </w:p>
        </w:tc>
      </w:tr>
      <w:tr w:rsidR="0034628D" w:rsidRPr="00791BF0" w14:paraId="7DBE8288" w14:textId="77777777" w:rsidTr="00791BF0">
        <w:trPr>
          <w:trHeight w:val="300"/>
        </w:trPr>
        <w:tc>
          <w:tcPr>
            <w:tcW w:w="4395" w:type="dxa"/>
            <w:vAlign w:val="center"/>
            <w:hideMark/>
          </w:tcPr>
          <w:p w14:paraId="320EA7BF" w14:textId="4CAED4E8" w:rsidR="00247F2F" w:rsidRPr="00791BF0" w:rsidRDefault="0034628D" w:rsidP="00064413">
            <w:pPr>
              <w:rPr>
                <w:rFonts w:ascii="Arial" w:hAnsi="Arial" w:cs="Arial"/>
                <w:color w:val="000000"/>
                <w:sz w:val="20"/>
                <w:szCs w:val="20"/>
                <w:lang w:val="fr-CA"/>
              </w:rPr>
            </w:pPr>
            <w:r w:rsidRPr="00791BF0">
              <w:rPr>
                <w:rFonts w:ascii="Arial" w:hAnsi="Arial" w:cs="Arial"/>
                <w:color w:val="000000"/>
                <w:sz w:val="20"/>
                <w:szCs w:val="20"/>
                <w:lang w:val="fr-CA"/>
              </w:rPr>
              <w:t>Catégorie Portefeuille Éléments Conservateur AGF</w:t>
            </w:r>
          </w:p>
        </w:tc>
        <w:tc>
          <w:tcPr>
            <w:tcW w:w="2569" w:type="dxa"/>
            <w:noWrap/>
            <w:vAlign w:val="center"/>
            <w:hideMark/>
          </w:tcPr>
          <w:p w14:paraId="77462173" w14:textId="0554D21E"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 à moyen</w:t>
            </w:r>
          </w:p>
        </w:tc>
        <w:tc>
          <w:tcPr>
            <w:tcW w:w="2675" w:type="dxa"/>
            <w:noWrap/>
            <w:vAlign w:val="center"/>
            <w:hideMark/>
          </w:tcPr>
          <w:p w14:paraId="587E3B87" w14:textId="7C438B34"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w:t>
            </w:r>
          </w:p>
        </w:tc>
      </w:tr>
      <w:tr w:rsidR="0034628D" w:rsidRPr="00791BF0" w14:paraId="15DEC391" w14:textId="77777777" w:rsidTr="00791BF0">
        <w:trPr>
          <w:trHeight w:val="300"/>
        </w:trPr>
        <w:tc>
          <w:tcPr>
            <w:tcW w:w="4395" w:type="dxa"/>
            <w:vAlign w:val="center"/>
            <w:hideMark/>
          </w:tcPr>
          <w:p w14:paraId="10A2891B" w14:textId="7F741F5E" w:rsidR="00247F2F" w:rsidRPr="00791BF0" w:rsidRDefault="0034628D" w:rsidP="00064413">
            <w:pPr>
              <w:rPr>
                <w:rFonts w:ascii="Arial" w:hAnsi="Arial" w:cs="Arial"/>
                <w:color w:val="000000"/>
                <w:sz w:val="20"/>
                <w:szCs w:val="20"/>
                <w:lang w:val="fr-CA"/>
              </w:rPr>
            </w:pPr>
            <w:r w:rsidRPr="00791BF0">
              <w:rPr>
                <w:rFonts w:ascii="Arial" w:hAnsi="Arial" w:cs="Arial"/>
                <w:color w:val="000000"/>
                <w:sz w:val="20"/>
                <w:szCs w:val="20"/>
                <w:lang w:val="fr-CA"/>
              </w:rPr>
              <w:t>Portefeuille Éléments Croissance AGF</w:t>
            </w:r>
          </w:p>
        </w:tc>
        <w:tc>
          <w:tcPr>
            <w:tcW w:w="2569" w:type="dxa"/>
            <w:noWrap/>
            <w:vAlign w:val="center"/>
            <w:hideMark/>
          </w:tcPr>
          <w:p w14:paraId="4672814A" w14:textId="7EFB6ECF"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Moyen</w:t>
            </w:r>
          </w:p>
        </w:tc>
        <w:tc>
          <w:tcPr>
            <w:tcW w:w="2675" w:type="dxa"/>
            <w:noWrap/>
            <w:vAlign w:val="center"/>
            <w:hideMark/>
          </w:tcPr>
          <w:p w14:paraId="31D6BB5E" w14:textId="74383B25"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 à moyen</w:t>
            </w:r>
          </w:p>
        </w:tc>
      </w:tr>
      <w:tr w:rsidR="0034628D" w:rsidRPr="00791BF0" w14:paraId="432C3D32" w14:textId="77777777" w:rsidTr="00791BF0">
        <w:trPr>
          <w:trHeight w:val="300"/>
        </w:trPr>
        <w:tc>
          <w:tcPr>
            <w:tcW w:w="4395" w:type="dxa"/>
            <w:vAlign w:val="center"/>
            <w:hideMark/>
          </w:tcPr>
          <w:p w14:paraId="1E0150EB" w14:textId="1A5BF99E" w:rsidR="00247F2F" w:rsidRPr="00791BF0" w:rsidRDefault="0034628D" w:rsidP="00064413">
            <w:pPr>
              <w:rPr>
                <w:rFonts w:ascii="Arial" w:hAnsi="Arial" w:cs="Arial"/>
                <w:color w:val="000000"/>
                <w:sz w:val="20"/>
                <w:szCs w:val="20"/>
                <w:lang w:val="fr-CA"/>
              </w:rPr>
            </w:pPr>
            <w:r w:rsidRPr="00791BF0">
              <w:rPr>
                <w:rFonts w:ascii="Arial" w:hAnsi="Arial" w:cs="Arial"/>
                <w:color w:val="000000"/>
                <w:sz w:val="20"/>
                <w:szCs w:val="20"/>
                <w:lang w:val="fr-CA"/>
              </w:rPr>
              <w:t>Catégorie Portefeuille Éléments Croissance AGF</w:t>
            </w:r>
          </w:p>
        </w:tc>
        <w:tc>
          <w:tcPr>
            <w:tcW w:w="2569" w:type="dxa"/>
            <w:noWrap/>
            <w:vAlign w:val="center"/>
            <w:hideMark/>
          </w:tcPr>
          <w:p w14:paraId="338A0689" w14:textId="14F84F64"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Moyen</w:t>
            </w:r>
          </w:p>
        </w:tc>
        <w:tc>
          <w:tcPr>
            <w:tcW w:w="2675" w:type="dxa"/>
            <w:noWrap/>
            <w:vAlign w:val="center"/>
            <w:hideMark/>
          </w:tcPr>
          <w:p w14:paraId="51299454" w14:textId="7B83EEE3"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 à moyen</w:t>
            </w:r>
          </w:p>
        </w:tc>
      </w:tr>
      <w:tr w:rsidR="0034628D" w:rsidRPr="00791BF0" w14:paraId="0F7EEF89" w14:textId="77777777" w:rsidTr="00791BF0">
        <w:trPr>
          <w:trHeight w:val="300"/>
        </w:trPr>
        <w:tc>
          <w:tcPr>
            <w:tcW w:w="4395" w:type="dxa"/>
            <w:vAlign w:val="center"/>
            <w:hideMark/>
          </w:tcPr>
          <w:p w14:paraId="13348979" w14:textId="699C4213" w:rsidR="00247F2F" w:rsidRPr="00791BF0" w:rsidRDefault="0034628D" w:rsidP="00064413">
            <w:pPr>
              <w:rPr>
                <w:rFonts w:ascii="Arial" w:hAnsi="Arial" w:cs="Arial"/>
                <w:color w:val="000000"/>
                <w:sz w:val="20"/>
                <w:szCs w:val="20"/>
                <w:lang w:val="fr-CA"/>
              </w:rPr>
            </w:pPr>
            <w:r w:rsidRPr="00791BF0">
              <w:rPr>
                <w:rFonts w:ascii="Arial" w:hAnsi="Arial" w:cs="Arial"/>
                <w:color w:val="000000"/>
                <w:sz w:val="20"/>
                <w:szCs w:val="20"/>
                <w:lang w:val="fr-CA"/>
              </w:rPr>
              <w:t>Fonds des marchés émergents AGF</w:t>
            </w:r>
          </w:p>
        </w:tc>
        <w:tc>
          <w:tcPr>
            <w:tcW w:w="2569" w:type="dxa"/>
            <w:noWrap/>
            <w:vAlign w:val="center"/>
            <w:hideMark/>
          </w:tcPr>
          <w:p w14:paraId="618AA66B" w14:textId="4B1B6365"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Élevé</w:t>
            </w:r>
          </w:p>
        </w:tc>
        <w:tc>
          <w:tcPr>
            <w:tcW w:w="2675" w:type="dxa"/>
            <w:noWrap/>
            <w:vAlign w:val="center"/>
            <w:hideMark/>
          </w:tcPr>
          <w:p w14:paraId="1F1F514E" w14:textId="691BE412"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Moyen à élevé</w:t>
            </w:r>
          </w:p>
        </w:tc>
      </w:tr>
      <w:tr w:rsidR="0034628D" w:rsidRPr="00791BF0" w14:paraId="6C7965CC" w14:textId="77777777" w:rsidTr="00791BF0">
        <w:trPr>
          <w:trHeight w:val="300"/>
        </w:trPr>
        <w:tc>
          <w:tcPr>
            <w:tcW w:w="4395" w:type="dxa"/>
            <w:vAlign w:val="center"/>
            <w:hideMark/>
          </w:tcPr>
          <w:p w14:paraId="13B81837" w14:textId="44344941" w:rsidR="00247F2F" w:rsidRPr="00791BF0" w:rsidRDefault="0034628D" w:rsidP="00064413">
            <w:pPr>
              <w:rPr>
                <w:rFonts w:ascii="Arial" w:hAnsi="Arial" w:cs="Arial"/>
                <w:color w:val="000000"/>
                <w:sz w:val="20"/>
                <w:szCs w:val="20"/>
                <w:lang w:val="fr-CA"/>
              </w:rPr>
            </w:pPr>
            <w:r w:rsidRPr="00791BF0">
              <w:rPr>
                <w:rFonts w:ascii="Arial" w:hAnsi="Arial" w:cs="Arial"/>
                <w:color w:val="000000"/>
                <w:sz w:val="20"/>
                <w:szCs w:val="20"/>
                <w:lang w:val="fr-CA"/>
              </w:rPr>
              <w:t>Fonds d’obligations mondiales convertibles AGF</w:t>
            </w:r>
          </w:p>
        </w:tc>
        <w:tc>
          <w:tcPr>
            <w:tcW w:w="2569" w:type="dxa"/>
            <w:noWrap/>
            <w:vAlign w:val="center"/>
            <w:hideMark/>
          </w:tcPr>
          <w:p w14:paraId="1885A75C" w14:textId="7C87F570"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w:t>
            </w:r>
          </w:p>
        </w:tc>
        <w:tc>
          <w:tcPr>
            <w:tcW w:w="2675" w:type="dxa"/>
            <w:noWrap/>
            <w:vAlign w:val="center"/>
            <w:hideMark/>
          </w:tcPr>
          <w:p w14:paraId="5A7242CC" w14:textId="7B66BC84"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 à moyen</w:t>
            </w:r>
          </w:p>
        </w:tc>
      </w:tr>
      <w:tr w:rsidR="0034628D" w:rsidRPr="00791BF0" w14:paraId="7A13A058" w14:textId="77777777" w:rsidTr="00791BF0">
        <w:trPr>
          <w:trHeight w:val="300"/>
        </w:trPr>
        <w:tc>
          <w:tcPr>
            <w:tcW w:w="4395" w:type="dxa"/>
            <w:vAlign w:val="center"/>
            <w:hideMark/>
          </w:tcPr>
          <w:p w14:paraId="08432D36" w14:textId="1B4E43E4" w:rsidR="00247F2F" w:rsidRPr="00791BF0" w:rsidRDefault="0034628D" w:rsidP="00064413">
            <w:pPr>
              <w:rPr>
                <w:rFonts w:ascii="Arial" w:hAnsi="Arial" w:cs="Arial"/>
                <w:color w:val="000000"/>
                <w:sz w:val="20"/>
                <w:szCs w:val="20"/>
                <w:lang w:val="fr-CA"/>
              </w:rPr>
            </w:pPr>
            <w:r w:rsidRPr="00791BF0">
              <w:rPr>
                <w:rFonts w:ascii="Arial" w:hAnsi="Arial" w:cs="Arial"/>
                <w:color w:val="000000"/>
                <w:sz w:val="20"/>
                <w:szCs w:val="20"/>
                <w:lang w:val="fr-CA"/>
              </w:rPr>
              <w:t>Catégorie Ressources mondiales AGF</w:t>
            </w:r>
          </w:p>
        </w:tc>
        <w:tc>
          <w:tcPr>
            <w:tcW w:w="2569" w:type="dxa"/>
            <w:noWrap/>
            <w:vAlign w:val="center"/>
            <w:hideMark/>
          </w:tcPr>
          <w:p w14:paraId="142A2BE3" w14:textId="50F81118"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Élevé</w:t>
            </w:r>
          </w:p>
        </w:tc>
        <w:tc>
          <w:tcPr>
            <w:tcW w:w="2675" w:type="dxa"/>
            <w:noWrap/>
            <w:vAlign w:val="center"/>
            <w:hideMark/>
          </w:tcPr>
          <w:p w14:paraId="30E270F1" w14:textId="436596AD" w:rsidR="00247F2F" w:rsidRPr="00791BF0" w:rsidRDefault="00316D69" w:rsidP="00064413">
            <w:pPr>
              <w:jc w:val="center"/>
              <w:rPr>
                <w:rFonts w:ascii="Arial" w:hAnsi="Arial" w:cs="Arial"/>
                <w:color w:val="000000"/>
                <w:sz w:val="20"/>
                <w:szCs w:val="20"/>
                <w:lang w:val="fr-CA"/>
              </w:rPr>
            </w:pPr>
            <w:r w:rsidRPr="00791BF0">
              <w:rPr>
                <w:rFonts w:ascii="Arial" w:hAnsi="Arial" w:cs="Arial"/>
                <w:color w:val="000000"/>
                <w:sz w:val="20"/>
                <w:szCs w:val="20"/>
                <w:lang w:val="fr-CA"/>
              </w:rPr>
              <w:t>Moyen à élevé</w:t>
            </w:r>
          </w:p>
        </w:tc>
      </w:tr>
      <w:tr w:rsidR="0034628D" w:rsidRPr="00791BF0" w14:paraId="422A1EA7" w14:textId="77777777" w:rsidTr="00791BF0">
        <w:trPr>
          <w:trHeight w:val="300"/>
        </w:trPr>
        <w:tc>
          <w:tcPr>
            <w:tcW w:w="4395" w:type="dxa"/>
            <w:vAlign w:val="center"/>
            <w:hideMark/>
          </w:tcPr>
          <w:p w14:paraId="5DFB4528" w14:textId="197EA3C2" w:rsidR="00247F2F" w:rsidRPr="00791BF0" w:rsidRDefault="0034628D" w:rsidP="00064413">
            <w:pPr>
              <w:rPr>
                <w:rFonts w:ascii="Arial" w:hAnsi="Arial" w:cs="Arial"/>
                <w:color w:val="000000"/>
                <w:sz w:val="20"/>
                <w:szCs w:val="20"/>
                <w:lang w:val="fr-CA"/>
              </w:rPr>
            </w:pPr>
            <w:r w:rsidRPr="00791BF0">
              <w:rPr>
                <w:rFonts w:ascii="Arial" w:hAnsi="Arial" w:cs="Arial"/>
                <w:color w:val="000000"/>
                <w:sz w:val="20"/>
                <w:szCs w:val="20"/>
                <w:lang w:val="fr-CA"/>
              </w:rPr>
              <w:t>Fonds Sélect mondial AGF</w:t>
            </w:r>
          </w:p>
        </w:tc>
        <w:tc>
          <w:tcPr>
            <w:tcW w:w="2569" w:type="dxa"/>
            <w:noWrap/>
            <w:vAlign w:val="center"/>
            <w:hideMark/>
          </w:tcPr>
          <w:p w14:paraId="0B98ECAC" w14:textId="47B31E9D"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Moyen à élevé</w:t>
            </w:r>
          </w:p>
        </w:tc>
        <w:tc>
          <w:tcPr>
            <w:tcW w:w="2675" w:type="dxa"/>
            <w:noWrap/>
            <w:vAlign w:val="center"/>
            <w:hideMark/>
          </w:tcPr>
          <w:p w14:paraId="04BC2D7F" w14:textId="0F49F84B" w:rsidR="00247F2F" w:rsidRPr="00791BF0" w:rsidRDefault="00316D69" w:rsidP="00064413">
            <w:pPr>
              <w:jc w:val="center"/>
              <w:rPr>
                <w:rFonts w:ascii="Arial" w:hAnsi="Arial" w:cs="Arial"/>
                <w:color w:val="000000"/>
                <w:sz w:val="20"/>
                <w:szCs w:val="20"/>
                <w:lang w:val="fr-CA"/>
              </w:rPr>
            </w:pPr>
            <w:r w:rsidRPr="00791BF0">
              <w:rPr>
                <w:rFonts w:ascii="Arial" w:hAnsi="Arial" w:cs="Arial"/>
                <w:color w:val="000000"/>
                <w:sz w:val="20"/>
                <w:szCs w:val="20"/>
                <w:lang w:val="fr-CA"/>
              </w:rPr>
              <w:t>Moyen</w:t>
            </w:r>
          </w:p>
        </w:tc>
      </w:tr>
      <w:tr w:rsidR="0034628D" w:rsidRPr="00791BF0" w14:paraId="254B0952" w14:textId="77777777" w:rsidTr="00791BF0">
        <w:trPr>
          <w:trHeight w:val="300"/>
        </w:trPr>
        <w:tc>
          <w:tcPr>
            <w:tcW w:w="4395" w:type="dxa"/>
            <w:vAlign w:val="center"/>
            <w:hideMark/>
          </w:tcPr>
          <w:p w14:paraId="64E6CB60" w14:textId="3C4DF728" w:rsidR="00247F2F" w:rsidRPr="00791BF0" w:rsidRDefault="0034628D" w:rsidP="00064413">
            <w:pPr>
              <w:rPr>
                <w:rFonts w:ascii="Arial" w:hAnsi="Arial" w:cs="Arial"/>
                <w:color w:val="000000"/>
                <w:sz w:val="20"/>
                <w:szCs w:val="20"/>
                <w:lang w:val="fr-CA"/>
              </w:rPr>
            </w:pPr>
            <w:r w:rsidRPr="00791BF0">
              <w:rPr>
                <w:rFonts w:ascii="Arial" w:hAnsi="Arial" w:cs="Arial"/>
                <w:color w:val="000000"/>
                <w:sz w:val="20"/>
                <w:szCs w:val="20"/>
                <w:lang w:val="fr-CA"/>
              </w:rPr>
              <w:t>Fonds d’actions mondiales Croissance durable AGF</w:t>
            </w:r>
          </w:p>
        </w:tc>
        <w:tc>
          <w:tcPr>
            <w:tcW w:w="2569" w:type="dxa"/>
            <w:noWrap/>
            <w:vAlign w:val="center"/>
            <w:hideMark/>
          </w:tcPr>
          <w:p w14:paraId="0515127F" w14:textId="4676C7AE"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Moyen</w:t>
            </w:r>
          </w:p>
        </w:tc>
        <w:tc>
          <w:tcPr>
            <w:tcW w:w="2675" w:type="dxa"/>
            <w:noWrap/>
            <w:vAlign w:val="center"/>
            <w:hideMark/>
          </w:tcPr>
          <w:p w14:paraId="147345D7" w14:textId="253657ED" w:rsidR="00247F2F" w:rsidRPr="00791BF0" w:rsidRDefault="00316D69" w:rsidP="00064413">
            <w:pPr>
              <w:jc w:val="center"/>
              <w:rPr>
                <w:rFonts w:ascii="Arial" w:hAnsi="Arial" w:cs="Arial"/>
                <w:color w:val="000000"/>
                <w:sz w:val="20"/>
                <w:szCs w:val="20"/>
                <w:lang w:val="fr-CA"/>
              </w:rPr>
            </w:pPr>
            <w:r w:rsidRPr="00791BF0">
              <w:rPr>
                <w:rFonts w:ascii="Arial" w:hAnsi="Arial" w:cs="Arial"/>
                <w:color w:val="000000"/>
                <w:sz w:val="20"/>
                <w:szCs w:val="20"/>
                <w:lang w:val="fr-CA"/>
              </w:rPr>
              <w:t>Moyen à élevé</w:t>
            </w:r>
          </w:p>
        </w:tc>
      </w:tr>
      <w:tr w:rsidR="0034628D" w:rsidRPr="00791BF0" w14:paraId="7A1B7C12" w14:textId="77777777" w:rsidTr="00791BF0">
        <w:trPr>
          <w:trHeight w:val="300"/>
        </w:trPr>
        <w:tc>
          <w:tcPr>
            <w:tcW w:w="4395" w:type="dxa"/>
            <w:vAlign w:val="center"/>
            <w:hideMark/>
          </w:tcPr>
          <w:p w14:paraId="4AB15BD1" w14:textId="1CE09897" w:rsidR="00247F2F" w:rsidRPr="00791BF0" w:rsidRDefault="0034628D" w:rsidP="00064413">
            <w:pPr>
              <w:rPr>
                <w:rFonts w:ascii="Arial" w:hAnsi="Arial" w:cs="Arial"/>
                <w:color w:val="000000"/>
                <w:sz w:val="20"/>
                <w:szCs w:val="20"/>
                <w:lang w:val="fr-CA"/>
              </w:rPr>
            </w:pPr>
            <w:r w:rsidRPr="00791BF0">
              <w:rPr>
                <w:rFonts w:ascii="Arial" w:hAnsi="Arial" w:cs="Arial"/>
                <w:color w:val="000000"/>
                <w:sz w:val="20"/>
                <w:szCs w:val="20"/>
                <w:lang w:val="fr-CA"/>
              </w:rPr>
              <w:t>Fonds d’obligations à rendement élevé AGF</w:t>
            </w:r>
          </w:p>
        </w:tc>
        <w:tc>
          <w:tcPr>
            <w:tcW w:w="2569" w:type="dxa"/>
            <w:noWrap/>
            <w:vAlign w:val="center"/>
            <w:hideMark/>
          </w:tcPr>
          <w:p w14:paraId="111C3047" w14:textId="0E6455C1"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 à moyen</w:t>
            </w:r>
          </w:p>
        </w:tc>
        <w:tc>
          <w:tcPr>
            <w:tcW w:w="2675" w:type="dxa"/>
            <w:noWrap/>
            <w:vAlign w:val="center"/>
            <w:hideMark/>
          </w:tcPr>
          <w:p w14:paraId="0174D4FC" w14:textId="63BBB74E" w:rsidR="00247F2F" w:rsidRPr="00791BF0" w:rsidRDefault="00316D69"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w:t>
            </w:r>
          </w:p>
        </w:tc>
      </w:tr>
      <w:tr w:rsidR="0034628D" w:rsidRPr="00791BF0" w14:paraId="062AA2EE" w14:textId="77777777" w:rsidTr="00791BF0">
        <w:trPr>
          <w:trHeight w:val="300"/>
        </w:trPr>
        <w:tc>
          <w:tcPr>
            <w:tcW w:w="4395" w:type="dxa"/>
            <w:vAlign w:val="center"/>
            <w:hideMark/>
          </w:tcPr>
          <w:p w14:paraId="0B73A50C" w14:textId="01AA20DE" w:rsidR="00247F2F" w:rsidRPr="00791BF0" w:rsidRDefault="0034628D" w:rsidP="00064413">
            <w:pPr>
              <w:rPr>
                <w:rFonts w:ascii="Arial" w:hAnsi="Arial" w:cs="Arial"/>
                <w:color w:val="000000"/>
                <w:sz w:val="20"/>
                <w:szCs w:val="20"/>
                <w:lang w:val="fr-CA"/>
              </w:rPr>
            </w:pPr>
            <w:r w:rsidRPr="00791BF0">
              <w:rPr>
                <w:rFonts w:ascii="Arial" w:hAnsi="Arial" w:cs="Arial"/>
                <w:color w:val="000000"/>
                <w:sz w:val="20"/>
                <w:szCs w:val="20"/>
                <w:lang w:val="fr-CA"/>
              </w:rPr>
              <w:t>Catégorie Obligations à rendement global AGF</w:t>
            </w:r>
          </w:p>
        </w:tc>
        <w:tc>
          <w:tcPr>
            <w:tcW w:w="2569" w:type="dxa"/>
            <w:noWrap/>
            <w:vAlign w:val="center"/>
            <w:hideMark/>
          </w:tcPr>
          <w:p w14:paraId="6E8F6897" w14:textId="750FE83C"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 à moyen</w:t>
            </w:r>
          </w:p>
        </w:tc>
        <w:tc>
          <w:tcPr>
            <w:tcW w:w="2675" w:type="dxa"/>
            <w:noWrap/>
            <w:vAlign w:val="center"/>
            <w:hideMark/>
          </w:tcPr>
          <w:p w14:paraId="0EAC61A5" w14:textId="4311A395" w:rsidR="00247F2F" w:rsidRPr="00791BF0" w:rsidRDefault="00316D69"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w:t>
            </w:r>
          </w:p>
        </w:tc>
      </w:tr>
      <w:tr w:rsidR="0034628D" w:rsidRPr="00791BF0" w14:paraId="47C65C27" w14:textId="77777777" w:rsidTr="00791BF0">
        <w:trPr>
          <w:trHeight w:val="300"/>
        </w:trPr>
        <w:tc>
          <w:tcPr>
            <w:tcW w:w="4395" w:type="dxa"/>
            <w:vAlign w:val="center"/>
            <w:hideMark/>
          </w:tcPr>
          <w:p w14:paraId="2CB9297A" w14:textId="35FBB260" w:rsidR="00247F2F" w:rsidRPr="00791BF0" w:rsidRDefault="0034628D" w:rsidP="00064413">
            <w:pPr>
              <w:rPr>
                <w:rFonts w:ascii="Arial" w:hAnsi="Arial" w:cs="Arial"/>
                <w:color w:val="000000"/>
                <w:sz w:val="20"/>
                <w:szCs w:val="20"/>
                <w:lang w:val="fr-CA"/>
              </w:rPr>
            </w:pPr>
            <w:r w:rsidRPr="00791BF0">
              <w:rPr>
                <w:rFonts w:ascii="Arial" w:hAnsi="Arial" w:cs="Arial"/>
                <w:color w:val="000000"/>
                <w:sz w:val="20"/>
                <w:szCs w:val="20"/>
                <w:lang w:val="fr-CA"/>
              </w:rPr>
              <w:t>Fonds d’obligations à rendement global AGF</w:t>
            </w:r>
          </w:p>
        </w:tc>
        <w:tc>
          <w:tcPr>
            <w:tcW w:w="2569" w:type="dxa"/>
            <w:noWrap/>
            <w:vAlign w:val="center"/>
            <w:hideMark/>
          </w:tcPr>
          <w:p w14:paraId="5678FCD1" w14:textId="74B728DA" w:rsidR="00247F2F" w:rsidRPr="00791BF0" w:rsidRDefault="0034628D"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 à moyen</w:t>
            </w:r>
          </w:p>
        </w:tc>
        <w:tc>
          <w:tcPr>
            <w:tcW w:w="2675" w:type="dxa"/>
            <w:noWrap/>
            <w:vAlign w:val="center"/>
            <w:hideMark/>
          </w:tcPr>
          <w:p w14:paraId="7A87D369" w14:textId="78B24877" w:rsidR="00247F2F" w:rsidRPr="00791BF0" w:rsidRDefault="00316D69" w:rsidP="00064413">
            <w:pPr>
              <w:jc w:val="center"/>
              <w:rPr>
                <w:rFonts w:ascii="Arial" w:hAnsi="Arial" w:cs="Arial"/>
                <w:color w:val="000000"/>
                <w:sz w:val="20"/>
                <w:szCs w:val="20"/>
                <w:lang w:val="fr-CA"/>
              </w:rPr>
            </w:pPr>
            <w:r w:rsidRPr="00791BF0">
              <w:rPr>
                <w:rFonts w:ascii="Arial" w:hAnsi="Arial" w:cs="Arial"/>
                <w:color w:val="000000"/>
                <w:sz w:val="20"/>
                <w:szCs w:val="20"/>
                <w:lang w:val="fr-CA"/>
              </w:rPr>
              <w:t>Faible</w:t>
            </w:r>
          </w:p>
        </w:tc>
      </w:tr>
    </w:tbl>
    <w:p w14:paraId="1FCA2B7F" w14:textId="77777777" w:rsidR="00247F2F" w:rsidRPr="00791BF0" w:rsidRDefault="00247F2F" w:rsidP="00247F2F">
      <w:pPr>
        <w:ind w:left="2835"/>
        <w:jc w:val="both"/>
        <w:rPr>
          <w:rFonts w:ascii="Arial" w:hAnsi="Arial" w:cs="Arial"/>
          <w:sz w:val="20"/>
          <w:szCs w:val="20"/>
          <w:lang w:val="fr-CA"/>
        </w:rPr>
      </w:pPr>
    </w:p>
    <w:p w14:paraId="29F36D1F" w14:textId="77777777" w:rsidR="00247F2F" w:rsidRPr="00791BF0" w:rsidRDefault="00247F2F" w:rsidP="00247F2F">
      <w:pPr>
        <w:pStyle w:val="NoSpacing"/>
        <w:rPr>
          <w:rFonts w:ascii="Arial" w:hAnsi="Arial" w:cs="Arial"/>
          <w:b/>
          <w:sz w:val="20"/>
          <w:szCs w:val="20"/>
          <w:lang w:val="fr-CA"/>
        </w:rPr>
      </w:pPr>
    </w:p>
    <w:p w14:paraId="7AAE0AC3" w14:textId="53F7D854" w:rsidR="00247F2F" w:rsidRPr="00791BF0" w:rsidRDefault="009771A8" w:rsidP="00247F2F">
      <w:pPr>
        <w:pStyle w:val="NoSpacing"/>
        <w:rPr>
          <w:rFonts w:ascii="Arial" w:hAnsi="Arial" w:cs="Arial"/>
          <w:b/>
          <w:sz w:val="20"/>
          <w:szCs w:val="20"/>
          <w:lang w:val="fr-CA"/>
        </w:rPr>
      </w:pPr>
      <w:r w:rsidRPr="00791BF0">
        <w:rPr>
          <w:rFonts w:ascii="Arial" w:hAnsi="Arial" w:cs="Arial"/>
          <w:b/>
          <w:sz w:val="20"/>
          <w:szCs w:val="20"/>
          <w:lang w:val="fr-CA"/>
        </w:rPr>
        <w:t>Lancement de la série I</w:t>
      </w:r>
    </w:p>
    <w:p w14:paraId="01DFC624" w14:textId="77777777" w:rsidR="00247F2F" w:rsidRPr="00791BF0" w:rsidRDefault="00247F2F" w:rsidP="00247F2F">
      <w:pPr>
        <w:pStyle w:val="NoSpacing"/>
        <w:rPr>
          <w:rFonts w:ascii="Arial" w:hAnsi="Arial" w:cs="Arial"/>
          <w:b/>
          <w:sz w:val="20"/>
          <w:szCs w:val="20"/>
          <w:lang w:val="fr-CA"/>
        </w:rPr>
      </w:pPr>
    </w:p>
    <w:p w14:paraId="6632F35E" w14:textId="0561FB17" w:rsidR="009771A8" w:rsidRPr="00791BF0" w:rsidRDefault="009771A8" w:rsidP="00247F2F">
      <w:pPr>
        <w:pStyle w:val="NoSpacing"/>
        <w:rPr>
          <w:rFonts w:ascii="Arial" w:hAnsi="Arial" w:cs="Arial"/>
          <w:sz w:val="20"/>
          <w:szCs w:val="20"/>
          <w:lang w:val="fr-CA"/>
        </w:rPr>
      </w:pPr>
      <w:r w:rsidRPr="00791BF0">
        <w:rPr>
          <w:rFonts w:ascii="Arial" w:hAnsi="Arial" w:cs="Arial"/>
          <w:sz w:val="20"/>
          <w:szCs w:val="20"/>
          <w:lang w:val="fr-CA"/>
        </w:rPr>
        <w:lastRenderedPageBreak/>
        <w:t>En janvier 2018, AGF élargira sa gamme de séries de fonds institutionnels et lancera 16 produits au sein de la série I. Elle multipliera ainsi les moyens offerts aux investisseurs institutionnels d’accéder aux fonds AGF.</w:t>
      </w:r>
    </w:p>
    <w:p w14:paraId="2A410700" w14:textId="77777777" w:rsidR="009771A8" w:rsidRPr="00791BF0" w:rsidRDefault="009771A8" w:rsidP="00247F2F">
      <w:pPr>
        <w:pStyle w:val="xmsonormal"/>
        <w:shd w:val="clear" w:color="auto" w:fill="FFFFFF"/>
        <w:spacing w:before="0" w:beforeAutospacing="0" w:after="0" w:afterAutospacing="0"/>
        <w:jc w:val="both"/>
        <w:rPr>
          <w:rFonts w:ascii="Arial" w:eastAsiaTheme="minorHAnsi" w:hAnsi="Arial" w:cs="Arial"/>
          <w:sz w:val="20"/>
          <w:szCs w:val="20"/>
          <w:lang w:val="fr-CA"/>
        </w:rPr>
      </w:pPr>
    </w:p>
    <w:p w14:paraId="3892C93E" w14:textId="2882F7B5" w:rsidR="00247F2F" w:rsidRPr="00791BF0" w:rsidRDefault="00FE19FE" w:rsidP="00247F2F">
      <w:pPr>
        <w:pStyle w:val="xmsonormal"/>
        <w:shd w:val="clear" w:color="auto" w:fill="FFFFFF"/>
        <w:spacing w:before="0" w:beforeAutospacing="0" w:after="0" w:afterAutospacing="0"/>
        <w:jc w:val="both"/>
        <w:rPr>
          <w:rFonts w:ascii="Arial" w:hAnsi="Arial" w:cs="Arial"/>
          <w:color w:val="212121"/>
          <w:sz w:val="20"/>
          <w:szCs w:val="20"/>
          <w:lang w:val="fr-CA"/>
        </w:rPr>
      </w:pPr>
      <w:r w:rsidRPr="00791BF0">
        <w:rPr>
          <w:rFonts w:ascii="Arial" w:eastAsiaTheme="minorHAnsi" w:hAnsi="Arial" w:cs="Arial"/>
          <w:sz w:val="20"/>
          <w:szCs w:val="20"/>
          <w:lang w:val="fr-CA"/>
        </w:rPr>
        <w:t xml:space="preserve">Les fonds suivants seront admissibles à compter du 11 décembre 2017 et </w:t>
      </w:r>
      <w:r w:rsidR="00D30D35" w:rsidRPr="00791BF0">
        <w:rPr>
          <w:rFonts w:ascii="Arial" w:eastAsiaTheme="minorHAnsi" w:hAnsi="Arial" w:cs="Arial"/>
          <w:sz w:val="20"/>
          <w:szCs w:val="20"/>
          <w:lang w:val="fr-CA"/>
        </w:rPr>
        <w:t>seront lancés en janvier 2018 (y compris trois séries destinées à la clientèle institutionnelle déjà admissibles).</w:t>
      </w:r>
    </w:p>
    <w:p w14:paraId="723F1689" w14:textId="77777777" w:rsidR="00247F2F" w:rsidRPr="00791BF0" w:rsidRDefault="00247F2F" w:rsidP="00247F2F">
      <w:pPr>
        <w:pStyle w:val="xmsonormal"/>
        <w:shd w:val="clear" w:color="auto" w:fill="FFFFFF"/>
        <w:spacing w:before="0" w:beforeAutospacing="0" w:after="0" w:afterAutospacing="0"/>
        <w:ind w:left="720"/>
        <w:jc w:val="both"/>
        <w:rPr>
          <w:rFonts w:ascii="Arial" w:hAnsi="Arial" w:cs="Arial"/>
          <w:color w:val="212121"/>
          <w:sz w:val="20"/>
          <w:szCs w:val="20"/>
          <w:lang w:val="fr-CA"/>
        </w:rPr>
      </w:pPr>
    </w:p>
    <w:tbl>
      <w:tblPr>
        <w:tblW w:w="6946" w:type="dxa"/>
        <w:shd w:val="clear" w:color="auto" w:fill="FFFFFF"/>
        <w:tblCellMar>
          <w:left w:w="0" w:type="dxa"/>
          <w:right w:w="0" w:type="dxa"/>
        </w:tblCellMar>
        <w:tblLook w:val="04A0" w:firstRow="1" w:lastRow="0" w:firstColumn="1" w:lastColumn="0" w:noHBand="0" w:noVBand="1"/>
      </w:tblPr>
      <w:tblGrid>
        <w:gridCol w:w="6946"/>
      </w:tblGrid>
      <w:tr w:rsidR="00247F2F" w:rsidRPr="00791BF0" w14:paraId="1DBDFAD6"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79506EF7" w14:textId="60E10422"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Catégorie Ressources mondiales AGF</w:t>
            </w:r>
          </w:p>
        </w:tc>
      </w:tr>
      <w:tr w:rsidR="00247F2F" w:rsidRPr="00791BF0" w14:paraId="41241316"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1C4C9606" w14:textId="6E1A07F2"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canadien de dividendes de grandes capitalisations AGF</w:t>
            </w:r>
          </w:p>
        </w:tc>
      </w:tr>
      <w:tr w:rsidR="00247F2F" w:rsidRPr="00791BF0" w14:paraId="4832EC73"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1FFD0198" w14:textId="5242B8AF"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canadien de petites capitalisations AGF</w:t>
            </w:r>
          </w:p>
        </w:tc>
      </w:tr>
      <w:tr w:rsidR="00247F2F" w:rsidRPr="00791BF0" w14:paraId="48FCE558"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64A5D583" w14:textId="0421BEA1"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de titres canadiens AGF</w:t>
            </w:r>
          </w:p>
        </w:tc>
      </w:tr>
      <w:tr w:rsidR="00247F2F" w:rsidRPr="00791BF0" w14:paraId="31E80E3B"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28F74A3F" w14:textId="6E202836"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de revenu diversifié AGF</w:t>
            </w:r>
          </w:p>
        </w:tc>
      </w:tr>
      <w:tr w:rsidR="00247F2F" w:rsidRPr="00791BF0" w14:paraId="1CF8A36A"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2E76C1E1" w14:textId="114DAE72"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de revenu de dividendes AGF</w:t>
            </w:r>
          </w:p>
        </w:tc>
      </w:tr>
      <w:tr w:rsidR="00247F2F" w:rsidRPr="00791BF0" w14:paraId="2369415F"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09A1E8B6" w14:textId="70CECBD7"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d’actions EAEO AGF</w:t>
            </w:r>
          </w:p>
        </w:tc>
      </w:tr>
      <w:tr w:rsidR="00247F2F" w:rsidRPr="00791BF0" w14:paraId="767B078B"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17FD9648" w14:textId="488AC7FC"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d’obligations des marchés émergents AGF</w:t>
            </w:r>
          </w:p>
        </w:tc>
      </w:tr>
      <w:tr w:rsidR="00247F2F" w:rsidRPr="00791BF0" w14:paraId="0DC47DC3"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68DD52F5" w14:textId="6202108E"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des marchés émergents AGF</w:t>
            </w:r>
          </w:p>
        </w:tc>
      </w:tr>
      <w:tr w:rsidR="00247F2F" w:rsidRPr="00791BF0" w14:paraId="57661984"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461965E0" w14:textId="626C8F85"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de revenu fixe Plus AGF</w:t>
            </w:r>
          </w:p>
        </w:tc>
      </w:tr>
      <w:tr w:rsidR="00247F2F" w:rsidRPr="00791BF0" w14:paraId="75F76AFE"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02EDC050" w14:textId="15A79A05"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d’obligations mondiales AGF</w:t>
            </w:r>
          </w:p>
        </w:tc>
      </w:tr>
      <w:tr w:rsidR="00247F2F" w:rsidRPr="00791BF0" w14:paraId="6BCD4664"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2FD07961" w14:textId="7CC28B27"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d’actions mondiales AGF</w:t>
            </w:r>
          </w:p>
        </w:tc>
      </w:tr>
      <w:tr w:rsidR="00247F2F" w:rsidRPr="00791BF0" w14:paraId="0617DA89"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3D126775" w14:textId="2C034FA9"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d’obligations à rendement élevé AGF</w:t>
            </w:r>
          </w:p>
        </w:tc>
      </w:tr>
      <w:tr w:rsidR="00247F2F" w:rsidRPr="00791BF0" w14:paraId="6E2F8BB9"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5C2763E1" w14:textId="7B04F57D"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de revenu mensuel élevé AGF</w:t>
            </w:r>
          </w:p>
        </w:tc>
      </w:tr>
      <w:tr w:rsidR="00247F2F" w:rsidRPr="00791BF0" w14:paraId="52F56C7C" w14:textId="77777777" w:rsidTr="00D30D35">
        <w:trPr>
          <w:trHeight w:val="270"/>
        </w:trPr>
        <w:tc>
          <w:tcPr>
            <w:tcW w:w="6946" w:type="dxa"/>
            <w:shd w:val="clear" w:color="auto" w:fill="FFFFFF"/>
            <w:noWrap/>
            <w:tcMar>
              <w:top w:w="0" w:type="dxa"/>
              <w:left w:w="108" w:type="dxa"/>
              <w:bottom w:w="0" w:type="dxa"/>
              <w:right w:w="108" w:type="dxa"/>
            </w:tcMar>
            <w:vAlign w:val="center"/>
            <w:hideMark/>
          </w:tcPr>
          <w:p w14:paraId="31102202" w14:textId="7DF2F5CD"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d’obligations à rendement global AGF</w:t>
            </w:r>
          </w:p>
        </w:tc>
      </w:tr>
      <w:tr w:rsidR="00247F2F" w:rsidRPr="00791BF0" w14:paraId="07F9B107" w14:textId="77777777" w:rsidTr="00D30D35">
        <w:trPr>
          <w:trHeight w:val="80"/>
        </w:trPr>
        <w:tc>
          <w:tcPr>
            <w:tcW w:w="6946" w:type="dxa"/>
            <w:shd w:val="clear" w:color="auto" w:fill="FFFFFF"/>
            <w:noWrap/>
            <w:tcMar>
              <w:top w:w="0" w:type="dxa"/>
              <w:left w:w="108" w:type="dxa"/>
              <w:bottom w:w="0" w:type="dxa"/>
              <w:right w:w="108" w:type="dxa"/>
            </w:tcMar>
            <w:vAlign w:val="center"/>
            <w:hideMark/>
          </w:tcPr>
          <w:p w14:paraId="2C4FAF02" w14:textId="3EA972F1" w:rsidR="00247F2F" w:rsidRPr="00791BF0" w:rsidRDefault="00247F2F" w:rsidP="00064413">
            <w:pPr>
              <w:pStyle w:val="xmsolistparagraph"/>
              <w:spacing w:before="0" w:beforeAutospacing="0" w:after="0" w:afterAutospacing="0"/>
              <w:ind w:left="720" w:hanging="360"/>
              <w:rPr>
                <w:rFonts w:ascii="Arial" w:hAnsi="Arial" w:cs="Arial"/>
                <w:color w:val="212121"/>
                <w:sz w:val="20"/>
                <w:szCs w:val="20"/>
                <w:lang w:val="fr-CA"/>
              </w:rPr>
            </w:pPr>
            <w:r w:rsidRPr="00791BF0">
              <w:rPr>
                <w:rFonts w:ascii="Arial" w:hAnsi="Arial" w:cs="Arial"/>
                <w:color w:val="000000"/>
                <w:sz w:val="20"/>
                <w:szCs w:val="20"/>
                <w:lang w:val="fr-CA"/>
              </w:rPr>
              <w:t>o    </w:t>
            </w:r>
            <w:r w:rsidR="00D30D35" w:rsidRPr="00791BF0">
              <w:rPr>
                <w:rFonts w:ascii="Arial" w:hAnsi="Arial" w:cs="Arial"/>
                <w:color w:val="000000"/>
                <w:sz w:val="20"/>
                <w:szCs w:val="20"/>
                <w:lang w:val="fr-CA"/>
              </w:rPr>
              <w:t>Fonds de revenu traditionnel AGF</w:t>
            </w:r>
          </w:p>
        </w:tc>
      </w:tr>
    </w:tbl>
    <w:p w14:paraId="11091018" w14:textId="77777777" w:rsidR="00247F2F" w:rsidRPr="00791BF0" w:rsidRDefault="00247F2F" w:rsidP="00247F2F">
      <w:pPr>
        <w:pStyle w:val="NoSpacing"/>
        <w:rPr>
          <w:rFonts w:ascii="Arial" w:hAnsi="Arial" w:cs="Arial"/>
          <w:sz w:val="20"/>
          <w:szCs w:val="20"/>
          <w:lang w:val="fr-CA"/>
        </w:rPr>
      </w:pPr>
    </w:p>
    <w:p w14:paraId="23BB2530" w14:textId="08C3B044" w:rsidR="00247F2F" w:rsidRPr="00791BF0" w:rsidRDefault="00247F2F" w:rsidP="00247F2F">
      <w:pPr>
        <w:pStyle w:val="NoSpacing"/>
        <w:rPr>
          <w:rFonts w:ascii="Arial" w:hAnsi="Arial" w:cs="Arial"/>
          <w:sz w:val="20"/>
          <w:szCs w:val="20"/>
          <w:lang w:val="fr-CA"/>
        </w:rPr>
      </w:pPr>
      <w:r w:rsidRPr="00791BF0">
        <w:rPr>
          <w:rFonts w:ascii="Arial" w:hAnsi="Arial" w:cs="Arial"/>
          <w:b/>
          <w:bCs/>
          <w:sz w:val="20"/>
          <w:szCs w:val="20"/>
          <w:lang w:val="fr-CA"/>
        </w:rPr>
        <w:t>AGF</w:t>
      </w:r>
      <w:r w:rsidR="00C43764" w:rsidRPr="00791BF0">
        <w:rPr>
          <w:rFonts w:ascii="Arial" w:hAnsi="Arial" w:cs="Arial"/>
          <w:b/>
          <w:bCs/>
          <w:sz w:val="20"/>
          <w:szCs w:val="20"/>
          <w:lang w:val="fr-CA"/>
        </w:rPr>
        <w:t> </w:t>
      </w:r>
      <w:r w:rsidRPr="00791BF0">
        <w:rPr>
          <w:rFonts w:ascii="Arial" w:hAnsi="Arial" w:cs="Arial"/>
          <w:b/>
          <w:bCs/>
          <w:sz w:val="20"/>
          <w:szCs w:val="20"/>
          <w:lang w:val="fr-CA"/>
        </w:rPr>
        <w:t xml:space="preserve">iQ </w:t>
      </w:r>
      <w:r w:rsidR="00C43764" w:rsidRPr="00791BF0">
        <w:rPr>
          <w:rFonts w:ascii="Arial" w:hAnsi="Arial" w:cs="Arial"/>
          <w:b/>
          <w:bCs/>
          <w:sz w:val="20"/>
          <w:szCs w:val="20"/>
          <w:lang w:val="fr-CA"/>
        </w:rPr>
        <w:t>sera co-gestionnaire du Fonds canadien de dividendes de grandes capitalisations AGF et de la Catégorie correspondante</w:t>
      </w:r>
    </w:p>
    <w:p w14:paraId="5D8E6C51" w14:textId="77777777" w:rsidR="00247F2F" w:rsidRPr="00791BF0" w:rsidRDefault="00247F2F" w:rsidP="00247F2F">
      <w:pPr>
        <w:pStyle w:val="NoSpacing"/>
        <w:rPr>
          <w:rFonts w:ascii="Arial" w:hAnsi="Arial" w:cs="Arial"/>
          <w:sz w:val="20"/>
          <w:szCs w:val="20"/>
          <w:lang w:val="fr-CA"/>
        </w:rPr>
      </w:pPr>
    </w:p>
    <w:p w14:paraId="3BDE3D03" w14:textId="6CDAC1C0" w:rsidR="00247F2F" w:rsidRPr="00791BF0" w:rsidRDefault="00D45B60" w:rsidP="00247F2F">
      <w:pPr>
        <w:pStyle w:val="NoSpacing"/>
        <w:rPr>
          <w:rFonts w:ascii="Arial" w:hAnsi="Arial" w:cs="Arial"/>
          <w:sz w:val="20"/>
          <w:szCs w:val="20"/>
          <w:lang w:val="fr-CA"/>
        </w:rPr>
      </w:pPr>
      <w:r w:rsidRPr="00791BF0">
        <w:rPr>
          <w:rFonts w:ascii="Arial" w:hAnsi="Arial" w:cs="Arial"/>
          <w:sz w:val="20"/>
          <w:szCs w:val="20"/>
          <w:lang w:val="fr-CA"/>
        </w:rPr>
        <w:t>Par l’intermédiaire de Gestion de placements Highstreet, la société AGF iQ Gestion de l’actif assumera la gestion de la portion d’actions canadiennes au sein du Fonds canadien de dividendes de grandes capitalisations AGF, de même que de la Catégorie canadienne Dividendes de grandes capitalisations AGF. À compter d’aujourd’hui, elle remplace dans ce rôle la société Gestion de placements Connor, Clark &amp; Lunn Ltée.</w:t>
      </w:r>
    </w:p>
    <w:p w14:paraId="57D770E8" w14:textId="77777777" w:rsidR="00247F2F" w:rsidRPr="00791BF0" w:rsidRDefault="00247F2F" w:rsidP="00247F2F">
      <w:pPr>
        <w:pStyle w:val="NoSpacing"/>
        <w:rPr>
          <w:rFonts w:ascii="Arial" w:hAnsi="Arial" w:cs="Arial"/>
          <w:sz w:val="20"/>
          <w:szCs w:val="20"/>
          <w:lang w:val="fr-CA"/>
        </w:rPr>
      </w:pPr>
    </w:p>
    <w:p w14:paraId="1F47E5BA" w14:textId="2813236F" w:rsidR="00D45B60" w:rsidRPr="00791BF0" w:rsidRDefault="00064413" w:rsidP="00247F2F">
      <w:pPr>
        <w:rPr>
          <w:rFonts w:ascii="Arial" w:hAnsi="Arial" w:cs="Arial"/>
          <w:sz w:val="20"/>
          <w:szCs w:val="20"/>
          <w:lang w:val="fr-CA"/>
        </w:rPr>
      </w:pPr>
      <w:r w:rsidRPr="00791BF0">
        <w:rPr>
          <w:rFonts w:ascii="Arial" w:hAnsi="Arial" w:cs="Arial"/>
          <w:sz w:val="20"/>
          <w:szCs w:val="20"/>
          <w:lang w:val="fr-CA"/>
        </w:rPr>
        <w:t>« Nous sommes fiers de disposer des ressources nécessaires pour gére</w:t>
      </w:r>
      <w:r w:rsidR="00F266A2" w:rsidRPr="00791BF0">
        <w:rPr>
          <w:rFonts w:ascii="Arial" w:hAnsi="Arial" w:cs="Arial"/>
          <w:sz w:val="20"/>
          <w:szCs w:val="20"/>
          <w:lang w:val="fr-CA"/>
        </w:rPr>
        <w:t>r cette stratégie</w:t>
      </w:r>
      <w:r w:rsidR="005B12A0" w:rsidRPr="00791BF0">
        <w:rPr>
          <w:rFonts w:ascii="Arial" w:hAnsi="Arial" w:cs="Arial"/>
          <w:sz w:val="20"/>
          <w:szCs w:val="20"/>
          <w:lang w:val="fr-CA"/>
        </w:rPr>
        <w:t xml:space="preserve"> à l’interne</w:t>
      </w:r>
      <w:r w:rsidRPr="00791BF0">
        <w:rPr>
          <w:rFonts w:ascii="Arial" w:hAnsi="Arial" w:cs="Arial"/>
          <w:sz w:val="20"/>
          <w:szCs w:val="20"/>
          <w:lang w:val="fr-CA"/>
        </w:rPr>
        <w:t xml:space="preserve">, </w:t>
      </w:r>
      <w:r w:rsidR="000302B9">
        <w:rPr>
          <w:rFonts w:ascii="Arial" w:hAnsi="Arial" w:cs="Arial"/>
          <w:sz w:val="20"/>
          <w:szCs w:val="20"/>
          <w:lang w:val="fr-CA"/>
        </w:rPr>
        <w:t xml:space="preserve">a déclaré </w:t>
      </w:r>
      <w:r w:rsidRPr="00791BF0">
        <w:rPr>
          <w:rFonts w:ascii="Arial" w:hAnsi="Arial" w:cs="Arial"/>
          <w:sz w:val="20"/>
          <w:szCs w:val="20"/>
          <w:lang w:val="fr-CA"/>
        </w:rPr>
        <w:t>Kevin McCreadie, président et chef des investissement</w:t>
      </w:r>
      <w:r w:rsidR="00055B7D">
        <w:rPr>
          <w:rFonts w:ascii="Arial" w:hAnsi="Arial" w:cs="Arial"/>
          <w:sz w:val="20"/>
          <w:szCs w:val="20"/>
          <w:lang w:val="fr-CA"/>
        </w:rPr>
        <w:t xml:space="preserve">s </w:t>
      </w:r>
      <w:r w:rsidRPr="00791BF0">
        <w:rPr>
          <w:rFonts w:ascii="Arial" w:hAnsi="Arial" w:cs="Arial"/>
          <w:sz w:val="20"/>
          <w:szCs w:val="20"/>
          <w:lang w:val="fr-CA"/>
        </w:rPr>
        <w:t xml:space="preserve">de Placements AGF Inc. </w:t>
      </w:r>
      <w:r w:rsidR="005B12A0" w:rsidRPr="00791BF0">
        <w:rPr>
          <w:rFonts w:ascii="Arial" w:hAnsi="Arial" w:cs="Arial"/>
          <w:sz w:val="20"/>
          <w:szCs w:val="20"/>
          <w:lang w:val="fr-CA"/>
        </w:rPr>
        <w:t xml:space="preserve">Ce changement reflète la croissance et l’évolution que suit notre société. </w:t>
      </w:r>
      <w:r w:rsidR="000302B9">
        <w:rPr>
          <w:rFonts w:ascii="Arial" w:hAnsi="Arial" w:cs="Arial"/>
          <w:sz w:val="20"/>
          <w:szCs w:val="20"/>
          <w:lang w:val="fr-CA"/>
        </w:rPr>
        <w:t xml:space="preserve">Nous disposons du </w:t>
      </w:r>
      <w:r w:rsidR="00F266A2" w:rsidRPr="00791BF0">
        <w:rPr>
          <w:rFonts w:ascii="Arial" w:hAnsi="Arial" w:cs="Arial"/>
          <w:sz w:val="20"/>
          <w:szCs w:val="20"/>
          <w:lang w:val="fr-CA"/>
        </w:rPr>
        <w:t xml:space="preserve">personnel </w:t>
      </w:r>
      <w:r w:rsidR="000302B9">
        <w:rPr>
          <w:rFonts w:ascii="Arial" w:hAnsi="Arial" w:cs="Arial"/>
          <w:sz w:val="20"/>
          <w:szCs w:val="20"/>
          <w:lang w:val="fr-CA"/>
        </w:rPr>
        <w:t xml:space="preserve">approprié pour </w:t>
      </w:r>
      <w:r w:rsidR="00F266A2" w:rsidRPr="00791BF0">
        <w:rPr>
          <w:rFonts w:ascii="Arial" w:hAnsi="Arial" w:cs="Arial"/>
          <w:sz w:val="20"/>
          <w:szCs w:val="20"/>
          <w:lang w:val="fr-CA"/>
        </w:rPr>
        <w:t>apporte</w:t>
      </w:r>
      <w:r w:rsidR="000302B9">
        <w:rPr>
          <w:rFonts w:ascii="Arial" w:hAnsi="Arial" w:cs="Arial"/>
          <w:sz w:val="20"/>
          <w:szCs w:val="20"/>
          <w:lang w:val="fr-CA"/>
        </w:rPr>
        <w:t>r</w:t>
      </w:r>
      <w:r w:rsidR="005B12A0" w:rsidRPr="00791BF0">
        <w:rPr>
          <w:rFonts w:ascii="Arial" w:hAnsi="Arial" w:cs="Arial"/>
          <w:sz w:val="20"/>
          <w:szCs w:val="20"/>
          <w:lang w:val="fr-CA"/>
        </w:rPr>
        <w:t xml:space="preserve"> discipline et stabilité à nos processus d’investissement, et ce, dans le but de fournir des résultats constants et reproductibles qui répondent davantage aux attentes des investisseurs. »</w:t>
      </w:r>
    </w:p>
    <w:p w14:paraId="7F1365CB" w14:textId="10326433" w:rsidR="00247F2F" w:rsidRPr="000302B9" w:rsidRDefault="00ED1BAA" w:rsidP="00247F2F">
      <w:pPr>
        <w:rPr>
          <w:rFonts w:ascii="Arial" w:hAnsi="Arial" w:cs="Arial"/>
          <w:sz w:val="20"/>
          <w:szCs w:val="20"/>
          <w:lang w:val="fr-CA"/>
        </w:rPr>
      </w:pPr>
      <w:r w:rsidRPr="000302B9">
        <w:rPr>
          <w:rFonts w:ascii="Arial" w:hAnsi="Arial" w:cs="Arial"/>
          <w:sz w:val="20"/>
          <w:szCs w:val="20"/>
          <w:lang w:val="fr-CA"/>
        </w:rPr>
        <w:t xml:space="preserve">AGF iQ Gestion de l’actif constitue </w:t>
      </w:r>
      <w:r w:rsidR="00F266A2" w:rsidRPr="000302B9">
        <w:rPr>
          <w:rFonts w:ascii="Arial" w:hAnsi="Arial" w:cs="Arial"/>
          <w:sz w:val="20"/>
          <w:szCs w:val="20"/>
          <w:lang w:val="fr-CA"/>
        </w:rPr>
        <w:t xml:space="preserve">la plateforme d’investissement quantitatif d’AGF appuyée d’une équipe pluridisciplinaire aux compétences variées, qui réunit les spécialités complémentaires des professionnels de l’investissement issus d’AGF et de ses sociétés affiliées, </w:t>
      </w:r>
      <w:r w:rsidRPr="000302B9">
        <w:rPr>
          <w:rFonts w:ascii="Arial" w:hAnsi="Arial" w:cs="Arial"/>
          <w:sz w:val="20"/>
          <w:szCs w:val="20"/>
          <w:lang w:val="fr-CA"/>
        </w:rPr>
        <w:t xml:space="preserve">Gestion de placements </w:t>
      </w:r>
      <w:r w:rsidR="00F266A2" w:rsidRPr="000302B9">
        <w:rPr>
          <w:rFonts w:ascii="Arial" w:hAnsi="Arial" w:cs="Arial"/>
          <w:sz w:val="20"/>
          <w:szCs w:val="20"/>
          <w:lang w:val="fr-CA"/>
        </w:rPr>
        <w:t>Highstreet (Highstreet) et FFCM, LLC (FFCM)</w:t>
      </w:r>
      <w:r w:rsidRPr="000302B9">
        <w:rPr>
          <w:rFonts w:ascii="Arial" w:hAnsi="Arial" w:cs="Arial"/>
          <w:sz w:val="20"/>
          <w:szCs w:val="20"/>
          <w:lang w:val="fr-CA"/>
        </w:rPr>
        <w:t>.</w:t>
      </w:r>
    </w:p>
    <w:p w14:paraId="26352412" w14:textId="5FBB7226" w:rsidR="00247F2F" w:rsidRPr="00791BF0" w:rsidRDefault="00E93AEB" w:rsidP="00E93AEB">
      <w:pPr>
        <w:rPr>
          <w:rFonts w:ascii="Arial" w:hAnsi="Arial" w:cs="Arial"/>
          <w:sz w:val="20"/>
          <w:szCs w:val="20"/>
          <w:lang w:val="fr-CA"/>
        </w:rPr>
      </w:pPr>
      <w:r w:rsidRPr="000302B9">
        <w:rPr>
          <w:rFonts w:ascii="Arial" w:hAnsi="Arial" w:cs="Arial"/>
          <w:sz w:val="20"/>
          <w:szCs w:val="20"/>
          <w:lang w:val="fr-CA"/>
        </w:rPr>
        <w:t>L’historique de Highstreet reflète ses solides compétences en gestion de mandats axés sur les titres canadiens à dividendes, y compris les fonds d’AGF versant des dividendes. Sa méthode de recherche exclusive a produit des revenus constants et supérieurs à ceux de l’indice de référence</w:t>
      </w:r>
      <w:r w:rsidR="00DB686E">
        <w:rPr>
          <w:rFonts w:ascii="Arial" w:hAnsi="Arial" w:cs="Arial"/>
          <w:sz w:val="20"/>
          <w:szCs w:val="20"/>
          <w:lang w:val="fr-CA"/>
        </w:rPr>
        <w:t xml:space="preserve"> </w:t>
      </w:r>
      <w:r w:rsidRPr="000302B9">
        <w:rPr>
          <w:rFonts w:ascii="Arial" w:hAnsi="Arial" w:cs="Arial"/>
          <w:sz w:val="20"/>
          <w:szCs w:val="20"/>
          <w:lang w:val="fr-CA"/>
        </w:rPr>
        <w:t>et une protection en cas de baisse.</w:t>
      </w:r>
    </w:p>
    <w:p w14:paraId="505BBA05" w14:textId="2A0E9366" w:rsidR="00247F2F" w:rsidRPr="00791BF0" w:rsidRDefault="003A2A67" w:rsidP="00247F2F">
      <w:pPr>
        <w:rPr>
          <w:rFonts w:ascii="Arial" w:hAnsi="Arial" w:cs="Arial"/>
          <w:sz w:val="20"/>
          <w:szCs w:val="20"/>
          <w:lang w:val="fr-CA"/>
        </w:rPr>
      </w:pPr>
      <w:r>
        <w:rPr>
          <w:rFonts w:ascii="Arial" w:hAnsi="Arial" w:cs="Arial"/>
          <w:sz w:val="20"/>
          <w:szCs w:val="20"/>
          <w:lang w:val="fr-CA"/>
        </w:rPr>
        <w:t>À partir d’</w:t>
      </w:r>
      <w:r w:rsidR="00DB686E" w:rsidRPr="00791BF0">
        <w:rPr>
          <w:rFonts w:ascii="Arial" w:hAnsi="Arial" w:cs="Arial"/>
          <w:sz w:val="20"/>
          <w:szCs w:val="20"/>
          <w:lang w:val="fr-CA"/>
        </w:rPr>
        <w:t xml:space="preserve">un objectif et </w:t>
      </w:r>
      <w:r w:rsidR="008B72D8">
        <w:rPr>
          <w:rFonts w:ascii="Arial" w:hAnsi="Arial" w:cs="Arial"/>
          <w:sz w:val="20"/>
          <w:szCs w:val="20"/>
          <w:lang w:val="fr-CA"/>
        </w:rPr>
        <w:t>d’</w:t>
      </w:r>
      <w:r w:rsidR="00DB686E" w:rsidRPr="00791BF0">
        <w:rPr>
          <w:rFonts w:ascii="Arial" w:hAnsi="Arial" w:cs="Arial"/>
          <w:sz w:val="20"/>
          <w:szCs w:val="20"/>
          <w:lang w:val="fr-CA"/>
        </w:rPr>
        <w:t xml:space="preserve">une stratégie similaires, </w:t>
      </w:r>
      <w:r w:rsidR="00DB686E">
        <w:rPr>
          <w:rFonts w:ascii="Arial" w:hAnsi="Arial" w:cs="Arial"/>
          <w:sz w:val="20"/>
          <w:szCs w:val="20"/>
          <w:lang w:val="fr-CA"/>
        </w:rPr>
        <w:t>l</w:t>
      </w:r>
      <w:r w:rsidR="00E93AEB" w:rsidRPr="00791BF0">
        <w:rPr>
          <w:rFonts w:ascii="Arial" w:hAnsi="Arial" w:cs="Arial"/>
          <w:sz w:val="20"/>
          <w:szCs w:val="20"/>
          <w:lang w:val="fr-CA"/>
        </w:rPr>
        <w:t xml:space="preserve">e Fonds canadien de dividendes de grandes capitalisations AGF et la Catégorie </w:t>
      </w:r>
      <w:r w:rsidR="00DB686E">
        <w:rPr>
          <w:rFonts w:ascii="Arial" w:hAnsi="Arial" w:cs="Arial"/>
          <w:sz w:val="20"/>
          <w:szCs w:val="20"/>
          <w:lang w:val="fr-CA"/>
        </w:rPr>
        <w:t xml:space="preserve">canadienne Dividendes de grandes capitalisations AGF </w:t>
      </w:r>
      <w:r w:rsidR="00E93AEB" w:rsidRPr="00791BF0">
        <w:rPr>
          <w:rFonts w:ascii="Arial" w:hAnsi="Arial" w:cs="Arial"/>
          <w:sz w:val="20"/>
          <w:szCs w:val="20"/>
          <w:lang w:val="fr-CA"/>
        </w:rPr>
        <w:t xml:space="preserve">seront gérés par </w:t>
      </w:r>
      <w:r w:rsidR="004714E9" w:rsidRPr="00791BF0">
        <w:rPr>
          <w:rFonts w:ascii="Arial" w:hAnsi="Arial" w:cs="Arial"/>
          <w:sz w:val="20"/>
          <w:szCs w:val="20"/>
          <w:lang w:val="fr-CA"/>
        </w:rPr>
        <w:t>Stephen Duench</w:t>
      </w:r>
      <w:r w:rsidR="004714E9" w:rsidRPr="00791BF0">
        <w:rPr>
          <w:rFonts w:ascii="Arial" w:hAnsi="Arial" w:cs="Arial"/>
          <w:sz w:val="20"/>
          <w:szCs w:val="20"/>
          <w:lang w:val="fr-CA"/>
        </w:rPr>
        <w:t xml:space="preserve"> </w:t>
      </w:r>
      <w:bookmarkStart w:id="0" w:name="_GoBack"/>
      <w:bookmarkEnd w:id="0"/>
      <w:r w:rsidR="00E93AEB" w:rsidRPr="00791BF0">
        <w:rPr>
          <w:rFonts w:ascii="Arial" w:hAnsi="Arial" w:cs="Arial"/>
          <w:sz w:val="20"/>
          <w:szCs w:val="20"/>
          <w:lang w:val="fr-CA"/>
        </w:rPr>
        <w:t xml:space="preserve">et </w:t>
      </w:r>
      <w:r w:rsidR="004714E9" w:rsidRPr="00791BF0">
        <w:rPr>
          <w:rFonts w:ascii="Arial" w:hAnsi="Arial" w:cs="Arial"/>
          <w:sz w:val="20"/>
          <w:szCs w:val="20"/>
          <w:lang w:val="fr-CA"/>
        </w:rPr>
        <w:t>Mark Stacey</w:t>
      </w:r>
      <w:r w:rsidR="00E93AEB" w:rsidRPr="00791BF0">
        <w:rPr>
          <w:rFonts w:ascii="Arial" w:hAnsi="Arial" w:cs="Arial"/>
          <w:sz w:val="20"/>
          <w:szCs w:val="20"/>
          <w:lang w:val="fr-CA"/>
        </w:rPr>
        <w:t xml:space="preserve">, </w:t>
      </w:r>
      <w:r w:rsidR="007F5736" w:rsidRPr="00791BF0">
        <w:rPr>
          <w:rFonts w:ascii="Arial" w:hAnsi="Arial" w:cs="Arial"/>
          <w:sz w:val="20"/>
          <w:szCs w:val="20"/>
          <w:lang w:val="fr-CA"/>
        </w:rPr>
        <w:t>de même que par Stephen Way, qui est responsable de la portion d’actions mond</w:t>
      </w:r>
      <w:r w:rsidR="00DB686E">
        <w:rPr>
          <w:rFonts w:ascii="Arial" w:hAnsi="Arial" w:cs="Arial"/>
          <w:sz w:val="20"/>
          <w:szCs w:val="20"/>
          <w:lang w:val="fr-CA"/>
        </w:rPr>
        <w:t>iales. Celle-ci reste inchangée</w:t>
      </w:r>
      <w:r w:rsidR="007F5736" w:rsidRPr="00791BF0">
        <w:rPr>
          <w:rFonts w:ascii="Arial" w:hAnsi="Arial" w:cs="Arial"/>
          <w:sz w:val="20"/>
          <w:szCs w:val="20"/>
          <w:lang w:val="fr-CA"/>
        </w:rPr>
        <w:t>.</w:t>
      </w:r>
    </w:p>
    <w:p w14:paraId="69FC3B63" w14:textId="77777777" w:rsidR="00247F2F" w:rsidRPr="00791BF0" w:rsidRDefault="00247F2F" w:rsidP="00247F2F">
      <w:pPr>
        <w:pStyle w:val="ListParagraph"/>
        <w:rPr>
          <w:rFonts w:ascii="Arial" w:hAnsi="Arial" w:cs="Arial"/>
          <w:sz w:val="20"/>
          <w:szCs w:val="20"/>
          <w:lang w:val="fr-CA"/>
        </w:rPr>
      </w:pPr>
    </w:p>
    <w:p w14:paraId="0C7F428C" w14:textId="5679FCE9" w:rsidR="00247F2F" w:rsidRPr="00791BF0" w:rsidRDefault="007F5736" w:rsidP="00247F2F">
      <w:pPr>
        <w:pStyle w:val="Heading3"/>
        <w:rPr>
          <w:rFonts w:ascii="Arial" w:hAnsi="Arial" w:cs="Arial"/>
          <w:b/>
          <w:sz w:val="20"/>
          <w:szCs w:val="20"/>
          <w:lang w:val="fr-CA"/>
        </w:rPr>
      </w:pPr>
      <w:r w:rsidRPr="00791BF0">
        <w:rPr>
          <w:rFonts w:ascii="Arial" w:hAnsi="Arial" w:cs="Arial"/>
          <w:b/>
          <w:color w:val="010101"/>
          <w:sz w:val="20"/>
          <w:szCs w:val="20"/>
          <w:lang w:val="fr-CA"/>
        </w:rPr>
        <w:t>Au sujet de La Société de Gestion AGF Limitée</w:t>
      </w:r>
    </w:p>
    <w:p w14:paraId="0928B8D3" w14:textId="77777777" w:rsidR="00247F2F" w:rsidRPr="00791BF0" w:rsidRDefault="00247F2F" w:rsidP="00247F2F">
      <w:pPr>
        <w:pStyle w:val="Heading3"/>
        <w:rPr>
          <w:rFonts w:ascii="Arial" w:hAnsi="Arial" w:cs="Arial"/>
          <w:sz w:val="20"/>
          <w:szCs w:val="20"/>
          <w:lang w:val="fr-CA"/>
        </w:rPr>
      </w:pPr>
    </w:p>
    <w:p w14:paraId="20E860BF" w14:textId="7C49EB11" w:rsidR="007F5736" w:rsidRPr="00791BF0" w:rsidRDefault="007F5736" w:rsidP="00247F2F">
      <w:pPr>
        <w:pStyle w:val="NormalWeb"/>
        <w:rPr>
          <w:rFonts w:ascii="Arial" w:hAnsi="Arial" w:cs="Arial"/>
          <w:sz w:val="20"/>
          <w:szCs w:val="20"/>
          <w:lang w:val="fr-CA"/>
        </w:rPr>
      </w:pPr>
      <w:r w:rsidRPr="00791BF0">
        <w:rPr>
          <w:rFonts w:ascii="Arial" w:hAnsi="Arial" w:cs="Arial"/>
          <w:color w:val="010101"/>
          <w:sz w:val="20"/>
          <w:szCs w:val="20"/>
          <w:lang w:val="fr-CA"/>
        </w:rPr>
        <w:t xml:space="preserve">Fondée en 1957, La Société de Gestion AGF Limitée (AGF) est une société de gestion de placements diversifiés à l’échelle mondiale qui gère des actifs pour des clients de détail et institutionnels, de même que des actifs non traditionnels et des avoirs de particuliers bien nantis. En tant que société indépendante, AGF </w:t>
      </w:r>
      <w:r w:rsidR="008B72D8">
        <w:rPr>
          <w:rFonts w:ascii="Arial" w:hAnsi="Arial" w:cs="Arial"/>
          <w:color w:val="010101"/>
          <w:sz w:val="20"/>
          <w:szCs w:val="20"/>
          <w:lang w:val="fr-CA"/>
        </w:rPr>
        <w:t xml:space="preserve">apporte de la discipline </w:t>
      </w:r>
      <w:r w:rsidRPr="00791BF0">
        <w:rPr>
          <w:rFonts w:ascii="Arial" w:hAnsi="Arial" w:cs="Arial"/>
          <w:color w:val="010101"/>
          <w:sz w:val="20"/>
          <w:szCs w:val="20"/>
          <w:lang w:val="fr-CA"/>
        </w:rPr>
        <w:t>en offrant l’excellence en matière de gestion de placements et en procurant à la clientèle une expérience exceptionnelle. La gamme de solutions d’investissement diverses d’AGF s’étend à l’échelle mondiale à une vaste clientèle, depuis les conseillers financiers jusqu’aux investisseurs particuliers et aux investisseurs institutionnels comprenant des caisses de retraite, des programmes d’entreprises, des fonds souverains, des fonds de dotation et des fondations.</w:t>
      </w:r>
    </w:p>
    <w:p w14:paraId="7A472076" w14:textId="02367702" w:rsidR="00247F2F" w:rsidRPr="00791BF0" w:rsidRDefault="00247F2F" w:rsidP="00247F2F">
      <w:pPr>
        <w:pStyle w:val="NormalWeb"/>
        <w:rPr>
          <w:rFonts w:ascii="Arial" w:hAnsi="Arial" w:cs="Arial"/>
          <w:sz w:val="20"/>
          <w:szCs w:val="20"/>
          <w:lang w:val="fr-CA"/>
        </w:rPr>
      </w:pPr>
    </w:p>
    <w:p w14:paraId="63F2A1F6" w14:textId="07D0A1F7" w:rsidR="00247F2F" w:rsidRPr="00791BF0" w:rsidRDefault="007F5736" w:rsidP="00247F2F">
      <w:pPr>
        <w:pStyle w:val="NormalWeb"/>
        <w:rPr>
          <w:rFonts w:ascii="Arial" w:hAnsi="Arial" w:cs="Arial"/>
          <w:sz w:val="20"/>
          <w:szCs w:val="20"/>
          <w:lang w:val="fr-CA"/>
        </w:rPr>
      </w:pPr>
      <w:r w:rsidRPr="00791BF0">
        <w:rPr>
          <w:rFonts w:ascii="Arial" w:hAnsi="Arial" w:cs="Arial"/>
          <w:color w:val="010101"/>
          <w:sz w:val="20"/>
          <w:szCs w:val="20"/>
          <w:lang w:val="fr-CA"/>
        </w:rPr>
        <w:t xml:space="preserve">AGF a des bureaux et des équipes de service </w:t>
      </w:r>
      <w:r w:rsidR="008B72D8">
        <w:rPr>
          <w:rFonts w:ascii="Arial" w:hAnsi="Arial" w:cs="Arial"/>
          <w:color w:val="010101"/>
          <w:sz w:val="20"/>
          <w:szCs w:val="20"/>
          <w:lang w:val="fr-CA"/>
        </w:rPr>
        <w:t xml:space="preserve">de l’exploitation et de service </w:t>
      </w:r>
      <w:r w:rsidRPr="00791BF0">
        <w:rPr>
          <w:rFonts w:ascii="Arial" w:hAnsi="Arial" w:cs="Arial"/>
          <w:color w:val="010101"/>
          <w:sz w:val="20"/>
          <w:szCs w:val="20"/>
          <w:lang w:val="fr-CA"/>
        </w:rPr>
        <w:t>à la clientèle sur place en Amérique du Nord, en Europe et en Asie. Avec un actif géré d’environ 37 milliards de dollars, AGF offre ses produits et services à plus d’un million d’investisseurs. AGF est inscrite à la Bourse de Toronto sous le symbole « AGF.B ».</w:t>
      </w:r>
    </w:p>
    <w:p w14:paraId="6E3C4BF5" w14:textId="77777777" w:rsidR="00247F2F" w:rsidRPr="00791BF0" w:rsidRDefault="00247F2F" w:rsidP="00247F2F">
      <w:pPr>
        <w:pStyle w:val="NormalWeb"/>
        <w:rPr>
          <w:rFonts w:ascii="Arial" w:hAnsi="Arial" w:cs="Arial"/>
          <w:sz w:val="20"/>
          <w:szCs w:val="20"/>
          <w:lang w:val="fr-CA"/>
        </w:rPr>
      </w:pPr>
    </w:p>
    <w:p w14:paraId="4E1529D1" w14:textId="77777777" w:rsidR="007F5736" w:rsidRPr="00791BF0" w:rsidRDefault="007F5736" w:rsidP="007F5736">
      <w:pPr>
        <w:spacing w:before="100" w:beforeAutospacing="1" w:after="100" w:afterAutospacing="1"/>
        <w:textAlignment w:val="top"/>
        <w:rPr>
          <w:rFonts w:ascii="Arial" w:hAnsi="Arial" w:cs="Arial"/>
          <w:b/>
          <w:color w:val="010101"/>
          <w:sz w:val="20"/>
          <w:szCs w:val="20"/>
          <w:lang w:val="fr-CA"/>
        </w:rPr>
      </w:pPr>
      <w:r w:rsidRPr="00791BF0">
        <w:rPr>
          <w:rFonts w:ascii="Arial" w:hAnsi="Arial" w:cs="Arial"/>
          <w:b/>
          <w:sz w:val="20"/>
          <w:szCs w:val="20"/>
          <w:lang w:val="fr-CA"/>
        </w:rPr>
        <w:t>Les représentants des médias peuvent communiquer avec la personne suivante pour de plus amples renseignements :</w:t>
      </w:r>
    </w:p>
    <w:p w14:paraId="1CF20501" w14:textId="77777777" w:rsidR="007F5736" w:rsidRPr="00791BF0" w:rsidRDefault="007F5736" w:rsidP="007F5736">
      <w:pPr>
        <w:pStyle w:val="NoSpacing"/>
        <w:rPr>
          <w:rFonts w:ascii="Arial" w:hAnsi="Arial" w:cs="Arial"/>
          <w:sz w:val="20"/>
          <w:szCs w:val="20"/>
          <w:lang w:val="fr-CA"/>
        </w:rPr>
      </w:pPr>
      <w:r w:rsidRPr="00791BF0">
        <w:rPr>
          <w:rFonts w:ascii="Arial" w:hAnsi="Arial" w:cs="Arial"/>
          <w:sz w:val="20"/>
          <w:szCs w:val="20"/>
          <w:lang w:val="fr-CA"/>
        </w:rPr>
        <w:t>Amanda Marchment</w:t>
      </w:r>
    </w:p>
    <w:p w14:paraId="0BB6B52F" w14:textId="77777777" w:rsidR="007F5736" w:rsidRPr="00791BF0" w:rsidRDefault="007F5736" w:rsidP="007F5736">
      <w:pPr>
        <w:pStyle w:val="NoSpacing"/>
        <w:rPr>
          <w:rFonts w:ascii="Arial" w:hAnsi="Arial" w:cs="Arial"/>
          <w:sz w:val="20"/>
          <w:szCs w:val="20"/>
          <w:lang w:val="fr-CA"/>
        </w:rPr>
      </w:pPr>
      <w:r w:rsidRPr="00791BF0">
        <w:rPr>
          <w:rFonts w:ascii="Arial" w:hAnsi="Arial" w:cs="Arial"/>
          <w:sz w:val="20"/>
          <w:szCs w:val="20"/>
          <w:lang w:val="fr-CA"/>
        </w:rPr>
        <w:t>Directrice, Service des communications de l’entreprise</w:t>
      </w:r>
    </w:p>
    <w:p w14:paraId="7B5179ED" w14:textId="77777777" w:rsidR="007F5736" w:rsidRPr="00791BF0" w:rsidRDefault="007F5736" w:rsidP="007F5736">
      <w:pPr>
        <w:pStyle w:val="NoSpacing"/>
        <w:rPr>
          <w:rFonts w:ascii="Arial" w:hAnsi="Arial" w:cs="Arial"/>
          <w:sz w:val="20"/>
          <w:szCs w:val="20"/>
          <w:lang w:val="fr-CA"/>
        </w:rPr>
      </w:pPr>
      <w:r w:rsidRPr="00791BF0">
        <w:rPr>
          <w:rFonts w:ascii="Arial" w:hAnsi="Arial" w:cs="Arial"/>
          <w:sz w:val="20"/>
          <w:szCs w:val="20"/>
          <w:lang w:val="fr-CA"/>
        </w:rPr>
        <w:t>416-865-4160</w:t>
      </w:r>
    </w:p>
    <w:p w14:paraId="3C625F9E" w14:textId="7FBF7F97" w:rsidR="00247F2F" w:rsidRPr="00791BF0" w:rsidRDefault="004714E9" w:rsidP="007F5736">
      <w:pPr>
        <w:pStyle w:val="NormalWeb"/>
        <w:rPr>
          <w:rFonts w:ascii="Arial" w:hAnsi="Arial" w:cs="Arial"/>
          <w:color w:val="203232"/>
          <w:sz w:val="20"/>
          <w:szCs w:val="20"/>
          <w:lang w:val="fr-CA"/>
        </w:rPr>
      </w:pPr>
      <w:hyperlink r:id="rId9" w:history="1">
        <w:r w:rsidR="007F5736" w:rsidRPr="00791BF0">
          <w:rPr>
            <w:rStyle w:val="Hyperlink"/>
            <w:rFonts w:ascii="Arial" w:hAnsi="Arial" w:cs="Arial"/>
            <w:sz w:val="20"/>
            <w:szCs w:val="20"/>
            <w:lang w:val="fr-CA"/>
          </w:rPr>
          <w:t>amanda.marchment@agf.com</w:t>
        </w:r>
      </w:hyperlink>
      <w:r w:rsidR="007F5736" w:rsidRPr="00791BF0">
        <w:rPr>
          <w:rFonts w:ascii="Arial" w:hAnsi="Arial" w:cs="Arial"/>
          <w:color w:val="203232"/>
          <w:sz w:val="20"/>
          <w:szCs w:val="20"/>
          <w:lang w:val="fr-CA"/>
        </w:rPr>
        <w:t> </w:t>
      </w:r>
    </w:p>
    <w:p w14:paraId="24FAF9C1" w14:textId="77777777" w:rsidR="002B66EB" w:rsidRPr="00791BF0" w:rsidRDefault="002B66EB">
      <w:pPr>
        <w:rPr>
          <w:lang w:val="fr-CA"/>
        </w:rPr>
      </w:pPr>
    </w:p>
    <w:sectPr w:rsidR="002B66EB" w:rsidRPr="00791B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93387" w14:textId="77777777" w:rsidR="00055B7D" w:rsidRDefault="00055B7D" w:rsidP="00055B7D">
      <w:pPr>
        <w:spacing w:after="0" w:line="240" w:lineRule="auto"/>
      </w:pPr>
      <w:r>
        <w:separator/>
      </w:r>
    </w:p>
  </w:endnote>
  <w:endnote w:type="continuationSeparator" w:id="0">
    <w:p w14:paraId="4F5B913A" w14:textId="77777777" w:rsidR="00055B7D" w:rsidRDefault="00055B7D" w:rsidP="0005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k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02D12" w14:textId="77777777" w:rsidR="00055B7D" w:rsidRDefault="00055B7D" w:rsidP="00055B7D">
      <w:pPr>
        <w:spacing w:after="0" w:line="240" w:lineRule="auto"/>
      </w:pPr>
      <w:r>
        <w:separator/>
      </w:r>
    </w:p>
  </w:footnote>
  <w:footnote w:type="continuationSeparator" w:id="0">
    <w:p w14:paraId="62F252CE" w14:textId="77777777" w:rsidR="00055B7D" w:rsidRDefault="00055B7D" w:rsidP="00055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C40A7"/>
    <w:multiLevelType w:val="hybridMultilevel"/>
    <w:tmpl w:val="2ED4C6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2F"/>
    <w:rsid w:val="000302B9"/>
    <w:rsid w:val="00055B7D"/>
    <w:rsid w:val="00064413"/>
    <w:rsid w:val="00126CE3"/>
    <w:rsid w:val="00137F8D"/>
    <w:rsid w:val="00245EFB"/>
    <w:rsid w:val="00247F2F"/>
    <w:rsid w:val="002B0716"/>
    <w:rsid w:val="002B66EB"/>
    <w:rsid w:val="00316D69"/>
    <w:rsid w:val="0034628D"/>
    <w:rsid w:val="003A2A67"/>
    <w:rsid w:val="004714E9"/>
    <w:rsid w:val="005B12A0"/>
    <w:rsid w:val="005E54BA"/>
    <w:rsid w:val="00620B6D"/>
    <w:rsid w:val="00791BF0"/>
    <w:rsid w:val="007F5736"/>
    <w:rsid w:val="0084339F"/>
    <w:rsid w:val="00852F75"/>
    <w:rsid w:val="008B72D8"/>
    <w:rsid w:val="009771A8"/>
    <w:rsid w:val="00A3030A"/>
    <w:rsid w:val="00A72DA7"/>
    <w:rsid w:val="00B02D80"/>
    <w:rsid w:val="00C43764"/>
    <w:rsid w:val="00C54DDA"/>
    <w:rsid w:val="00CC2F35"/>
    <w:rsid w:val="00CD3B39"/>
    <w:rsid w:val="00D149EE"/>
    <w:rsid w:val="00D30D35"/>
    <w:rsid w:val="00D45B60"/>
    <w:rsid w:val="00D63CFE"/>
    <w:rsid w:val="00DB686E"/>
    <w:rsid w:val="00DE0F72"/>
    <w:rsid w:val="00E4714C"/>
    <w:rsid w:val="00E93AEB"/>
    <w:rsid w:val="00ED05A6"/>
    <w:rsid w:val="00ED1BAA"/>
    <w:rsid w:val="00F03873"/>
    <w:rsid w:val="00F25350"/>
    <w:rsid w:val="00F266A2"/>
    <w:rsid w:val="00F87E54"/>
    <w:rsid w:val="00FE19FE"/>
    <w:rsid w:val="00FF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AA82"/>
  <w15:chartTrackingRefBased/>
  <w15:docId w15:val="{A24390DE-0A2E-4FEA-BCC0-55512B3F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2F"/>
  </w:style>
  <w:style w:type="paragraph" w:styleId="Heading3">
    <w:name w:val="heading 3"/>
    <w:basedOn w:val="Normal"/>
    <w:link w:val="Heading3Char"/>
    <w:uiPriority w:val="9"/>
    <w:qFormat/>
    <w:rsid w:val="00247F2F"/>
    <w:pPr>
      <w:spacing w:after="0" w:line="240" w:lineRule="auto"/>
      <w:outlineLvl w:val="2"/>
    </w:pPr>
    <w:rPr>
      <w:rFonts w:ascii="markbold" w:eastAsia="Times New Roman" w:hAnsi="markbold"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7F2F"/>
    <w:rPr>
      <w:rFonts w:ascii="markbold" w:eastAsia="Times New Roman" w:hAnsi="markbold" w:cs="Times New Roman"/>
      <w:sz w:val="27"/>
      <w:szCs w:val="27"/>
    </w:rPr>
  </w:style>
  <w:style w:type="paragraph" w:styleId="BodyText">
    <w:name w:val="Body Text"/>
    <w:basedOn w:val="Normal"/>
    <w:link w:val="BodyTextChar"/>
    <w:rsid w:val="00247F2F"/>
    <w:pPr>
      <w:spacing w:after="0" w:line="240" w:lineRule="auto"/>
    </w:pPr>
    <w:rPr>
      <w:rFonts w:ascii="Arial" w:eastAsia="Times New Roman" w:hAnsi="Arial" w:cs="Times New Roman"/>
      <w:b/>
      <w:spacing w:val="300"/>
      <w:sz w:val="32"/>
      <w:szCs w:val="20"/>
    </w:rPr>
  </w:style>
  <w:style w:type="character" w:customStyle="1" w:styleId="BodyTextChar">
    <w:name w:val="Body Text Char"/>
    <w:basedOn w:val="DefaultParagraphFont"/>
    <w:link w:val="BodyText"/>
    <w:rsid w:val="00247F2F"/>
    <w:rPr>
      <w:rFonts w:ascii="Arial" w:eastAsia="Times New Roman" w:hAnsi="Arial" w:cs="Times New Roman"/>
      <w:b/>
      <w:spacing w:val="300"/>
      <w:sz w:val="32"/>
      <w:szCs w:val="20"/>
    </w:rPr>
  </w:style>
  <w:style w:type="paragraph" w:styleId="ListParagraph">
    <w:name w:val="List Paragraph"/>
    <w:basedOn w:val="Normal"/>
    <w:uiPriority w:val="34"/>
    <w:qFormat/>
    <w:rsid w:val="00247F2F"/>
    <w:pPr>
      <w:spacing w:after="0" w:line="240" w:lineRule="auto"/>
      <w:ind w:left="720"/>
    </w:pPr>
    <w:rPr>
      <w:rFonts w:ascii="Calibri" w:hAnsi="Calibri" w:cs="Times New Roman"/>
    </w:rPr>
  </w:style>
  <w:style w:type="paragraph" w:styleId="NoSpacing">
    <w:name w:val="No Spacing"/>
    <w:uiPriority w:val="1"/>
    <w:qFormat/>
    <w:rsid w:val="00247F2F"/>
    <w:pPr>
      <w:spacing w:after="0" w:line="240" w:lineRule="auto"/>
    </w:pPr>
  </w:style>
  <w:style w:type="character" w:styleId="Hyperlink">
    <w:name w:val="Hyperlink"/>
    <w:basedOn w:val="DefaultParagraphFont"/>
    <w:uiPriority w:val="99"/>
    <w:semiHidden/>
    <w:unhideWhenUsed/>
    <w:rsid w:val="00247F2F"/>
    <w:rPr>
      <w:color w:val="0563C1"/>
      <w:u w:val="single"/>
    </w:rPr>
  </w:style>
  <w:style w:type="paragraph" w:styleId="NormalWeb">
    <w:name w:val="Normal (Web)"/>
    <w:basedOn w:val="Normal"/>
    <w:uiPriority w:val="99"/>
    <w:semiHidden/>
    <w:unhideWhenUsed/>
    <w:rsid w:val="00247F2F"/>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247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47F2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47F2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3873"/>
    <w:rPr>
      <w:sz w:val="16"/>
      <w:szCs w:val="16"/>
    </w:rPr>
  </w:style>
  <w:style w:type="paragraph" w:styleId="CommentText">
    <w:name w:val="annotation text"/>
    <w:basedOn w:val="Normal"/>
    <w:link w:val="CommentTextChar"/>
    <w:uiPriority w:val="99"/>
    <w:semiHidden/>
    <w:unhideWhenUsed/>
    <w:rsid w:val="00F03873"/>
    <w:pPr>
      <w:spacing w:line="240" w:lineRule="auto"/>
    </w:pPr>
    <w:rPr>
      <w:sz w:val="20"/>
      <w:szCs w:val="20"/>
    </w:rPr>
  </w:style>
  <w:style w:type="character" w:customStyle="1" w:styleId="CommentTextChar">
    <w:name w:val="Comment Text Char"/>
    <w:basedOn w:val="DefaultParagraphFont"/>
    <w:link w:val="CommentText"/>
    <w:uiPriority w:val="99"/>
    <w:semiHidden/>
    <w:rsid w:val="00F03873"/>
    <w:rPr>
      <w:sz w:val="20"/>
      <w:szCs w:val="20"/>
    </w:rPr>
  </w:style>
  <w:style w:type="paragraph" w:styleId="CommentSubject">
    <w:name w:val="annotation subject"/>
    <w:basedOn w:val="CommentText"/>
    <w:next w:val="CommentText"/>
    <w:link w:val="CommentSubjectChar"/>
    <w:uiPriority w:val="99"/>
    <w:semiHidden/>
    <w:unhideWhenUsed/>
    <w:rsid w:val="00F03873"/>
    <w:rPr>
      <w:b/>
      <w:bCs/>
    </w:rPr>
  </w:style>
  <w:style w:type="character" w:customStyle="1" w:styleId="CommentSubjectChar">
    <w:name w:val="Comment Subject Char"/>
    <w:basedOn w:val="CommentTextChar"/>
    <w:link w:val="CommentSubject"/>
    <w:uiPriority w:val="99"/>
    <w:semiHidden/>
    <w:rsid w:val="00F03873"/>
    <w:rPr>
      <w:b/>
      <w:bCs/>
      <w:sz w:val="20"/>
      <w:szCs w:val="20"/>
    </w:rPr>
  </w:style>
  <w:style w:type="paragraph" w:styleId="BalloonText">
    <w:name w:val="Balloon Text"/>
    <w:basedOn w:val="Normal"/>
    <w:link w:val="BalloonTextChar"/>
    <w:uiPriority w:val="99"/>
    <w:semiHidden/>
    <w:unhideWhenUsed/>
    <w:rsid w:val="00F03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73"/>
    <w:rPr>
      <w:rFonts w:ascii="Segoe UI" w:hAnsi="Segoe UI" w:cs="Segoe UI"/>
      <w:sz w:val="18"/>
      <w:szCs w:val="18"/>
    </w:rPr>
  </w:style>
  <w:style w:type="paragraph" w:styleId="Header">
    <w:name w:val="header"/>
    <w:basedOn w:val="Normal"/>
    <w:link w:val="HeaderChar"/>
    <w:uiPriority w:val="99"/>
    <w:unhideWhenUsed/>
    <w:rsid w:val="00055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B7D"/>
  </w:style>
  <w:style w:type="paragraph" w:styleId="Footer">
    <w:name w:val="footer"/>
    <w:basedOn w:val="Normal"/>
    <w:link w:val="FooterChar"/>
    <w:uiPriority w:val="99"/>
    <w:unhideWhenUsed/>
    <w:rsid w:val="00055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anda.marchment@ag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76A4-3E07-4B15-BFB5-AA37DFB1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C3902EAD.dotm</Template>
  <TotalTime>1</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AGF Management Limited</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Marchment</dc:creator>
  <cp:keywords/>
  <dc:description/>
  <cp:lastModifiedBy>Amanda Marchment</cp:lastModifiedBy>
  <cp:revision>3</cp:revision>
  <cp:lastPrinted>2017-12-11T15:08:00Z</cp:lastPrinted>
  <dcterms:created xsi:type="dcterms:W3CDTF">2017-12-11T15:07:00Z</dcterms:created>
  <dcterms:modified xsi:type="dcterms:W3CDTF">2017-12-11T15:08:00Z</dcterms:modified>
</cp:coreProperties>
</file>