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de0a6e36" Type="http://schemas.openxmlformats.org/officeDocument/2006/extended-properties" Target="docProps/app0.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31" w:rsidRDefault="002E3B31">
      <w:pPr>
        <w:spacing w:line="288" w:lineRule="auto"/>
      </w:pPr>
      <w:bookmarkStart w:id="0" w:name="Header_and_Highlights"/>
      <w:bookmarkEnd w:id="0"/>
    </w:p>
    <w:p w:rsidR="002E3B31" w:rsidRDefault="007C6E2D">
      <w:pPr>
        <w:spacing w:line="288" w:lineRule="auto"/>
      </w:pPr>
      <w:r>
        <w:rPr>
          <w:noProof/>
        </w:rPr>
        <w:drawing>
          <wp:inline distT="0" distB="0" distL="0" distR="0" wp14:anchorId="7E5C4381" wp14:editId="3496B8BB">
            <wp:extent cx="6502400" cy="1372609"/>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6502400" cy="1372609"/>
                    </a:xfrm>
                    <a:prstGeom prst="rect">
                      <a:avLst/>
                    </a:prstGeom>
                  </pic:spPr>
                </pic:pic>
              </a:graphicData>
            </a:graphic>
          </wp:inline>
        </w:drawing>
      </w:r>
    </w:p>
    <w:p w:rsidR="002E3B31" w:rsidRDefault="002E3B31">
      <w:pPr>
        <w:spacing w:after="140"/>
      </w:pPr>
    </w:p>
    <w:tbl>
      <w:tblPr>
        <w:tblW w:w="10240" w:type="dxa"/>
        <w:jc w:val="center"/>
        <w:tblLayout w:type="fixed"/>
        <w:tblCellMar>
          <w:left w:w="10" w:type="dxa"/>
          <w:right w:w="10" w:type="dxa"/>
        </w:tblCellMar>
        <w:tblLook w:val="04A0" w:firstRow="1" w:lastRow="0" w:firstColumn="1" w:lastColumn="0" w:noHBand="0" w:noVBand="1"/>
      </w:tblPr>
      <w:tblGrid>
        <w:gridCol w:w="1680"/>
        <w:gridCol w:w="200"/>
        <w:gridCol w:w="8360"/>
      </w:tblGrid>
      <w:tr w:rsidR="002E3B31">
        <w:trPr>
          <w:trHeight w:hRule="exact" w:val="2080"/>
          <w:jc w:val="center"/>
        </w:trPr>
        <w:tc>
          <w:tcPr>
            <w:tcW w:w="1680" w:type="dxa"/>
            <w:tcMar>
              <w:left w:w="60" w:type="dxa"/>
              <w:right w:w="40" w:type="dxa"/>
            </w:tcMar>
          </w:tcPr>
          <w:p w:rsidR="002E3B31" w:rsidRDefault="007C6E2D">
            <w:pPr>
              <w:keepLines/>
              <w:spacing w:before="40" w:after="40" w:line="288" w:lineRule="auto"/>
            </w:pPr>
            <w:r>
              <w:rPr>
                <w:noProof/>
              </w:rPr>
              <w:drawing>
                <wp:inline distT="0" distB="0" distL="0" distR="0" wp14:anchorId="1539A3FF" wp14:editId="5F551ABE">
                  <wp:extent cx="1017384" cy="1244600"/>
                  <wp:effectExtent l="0" t="0" r="0" b="0"/>
                  <wp:docPr id="2" name="Image - Image2.jpeg"/>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8"/>
                          <a:stretch>
                            <a:fillRect/>
                          </a:stretch>
                        </pic:blipFill>
                        <pic:spPr>
                          <a:xfrm>
                            <a:off x="0" y="0"/>
                            <a:ext cx="1017384" cy="1244600"/>
                          </a:xfrm>
                          <a:prstGeom prst="rect">
                            <a:avLst/>
                          </a:prstGeom>
                        </pic:spPr>
                      </pic:pic>
                    </a:graphicData>
                  </a:graphic>
                </wp:inline>
              </w:drawing>
            </w:r>
          </w:p>
        </w:tc>
        <w:tc>
          <w:tcPr>
            <w:tcW w:w="200" w:type="dxa"/>
            <w:tcMar>
              <w:left w:w="60" w:type="dxa"/>
              <w:right w:w="0" w:type="dxa"/>
            </w:tcMar>
          </w:tcPr>
          <w:p w:rsidR="002E3B31" w:rsidRDefault="002E3B31">
            <w:pPr>
              <w:keepLines/>
              <w:spacing w:before="40" w:after="40"/>
            </w:pPr>
          </w:p>
        </w:tc>
        <w:tc>
          <w:tcPr>
            <w:tcW w:w="8360" w:type="dxa"/>
            <w:tcMar>
              <w:left w:w="60" w:type="dxa"/>
              <w:right w:w="40" w:type="dxa"/>
            </w:tcMar>
            <w:vAlign w:val="center"/>
          </w:tcPr>
          <w:p w:rsidR="002E3B31" w:rsidRDefault="007C6E2D">
            <w:pPr>
              <w:keepLines/>
              <w:spacing w:before="40"/>
              <w:ind w:left="270" w:hanging="270"/>
            </w:pPr>
            <w:r>
              <w:t>•  The partnership reported $86 million of net income attributable to the partnership, $87 million of net cash provided by operating activities, $119 million of adjusted EBITDA attributable to the partnership and $97 million of cash available for distribution.</w:t>
            </w:r>
          </w:p>
          <w:p w:rsidR="002E3B31" w:rsidRDefault="002E3B31">
            <w:pPr>
              <w:keepLines/>
            </w:pPr>
          </w:p>
          <w:p w:rsidR="002E3B31" w:rsidRDefault="007C6E2D">
            <w:pPr>
              <w:keepLines/>
              <w:ind w:left="270" w:hanging="270"/>
            </w:pPr>
            <w:r>
              <w:t>•  Completed an $825 million acquisition on December 1st of strategic onshore and offshore assets.</w:t>
            </w:r>
          </w:p>
          <w:p w:rsidR="002E3B31" w:rsidRDefault="002E3B31">
            <w:pPr>
              <w:keepLines/>
            </w:pPr>
          </w:p>
          <w:p w:rsidR="002E3B31" w:rsidRDefault="007C6E2D">
            <w:pPr>
              <w:keepLines/>
              <w:ind w:left="270" w:hanging="270"/>
            </w:pPr>
            <w:r>
              <w:t>•  Fourth quarter distribution of $0.333/unit, up 4.7% from previous quarter and 20% from the fourth quarter of 2016.</w:t>
            </w:r>
          </w:p>
          <w:p w:rsidR="002E3B31" w:rsidRDefault="002E3B31">
            <w:pPr>
              <w:keepLines/>
              <w:spacing w:after="40"/>
            </w:pPr>
          </w:p>
        </w:tc>
      </w:tr>
    </w:tbl>
    <w:p w:rsidR="002E3B31" w:rsidRDefault="002E3B31">
      <w:pPr>
        <w:spacing w:before="60" w:line="288" w:lineRule="auto"/>
      </w:pPr>
    </w:p>
    <w:p w:rsidR="002E3B31" w:rsidRDefault="002E3B31">
      <w:pPr>
        <w:spacing w:line="288" w:lineRule="auto"/>
      </w:pPr>
    </w:p>
    <w:p w:rsidR="002E3B31" w:rsidRDefault="007C6E2D">
      <w:pPr>
        <w:spacing w:after="60" w:line="288" w:lineRule="auto"/>
        <w:jc w:val="both"/>
      </w:pPr>
      <w:r>
        <w:t xml:space="preserve">HOUSTON, February 27, 2018 – Shell Midstream Partners, L.P. (NYSE: SHLX), a growth-oriented mainstream midstream master limited partnership formed by Royal Dutch Shell plc (RDS), reported net income attributable to the partnership of $86.4 million for the fourth quarter of 2017, which equated to $0.35 per common limited partner unit. Shell Midstream Partners also generated adjusted earnings before interest, income taxes, depreciation and amortization attributable to the partnership of $118.7 million and cash available for distribution of $97.0 million. </w:t>
      </w:r>
    </w:p>
    <w:p w:rsidR="002E3B31" w:rsidRDefault="002E3B31">
      <w:pPr>
        <w:spacing w:after="60" w:line="288" w:lineRule="auto"/>
        <w:jc w:val="both"/>
      </w:pPr>
    </w:p>
    <w:p w:rsidR="002E3B31" w:rsidRDefault="007C6E2D">
      <w:pPr>
        <w:spacing w:line="288" w:lineRule="auto"/>
      </w:pPr>
      <w:r>
        <w:t>“This was an important year for Shell Midstream Partners,” said John Hollowell, CEO, Shell Midstream Partners. “We continued to deliver against our strategy, taking steps to diversify our portfolio, both in terms of asset classes and geography, all while sustaining our growth promises. Specifically, we acquired approximately $1.5 billion of assets from Shell - all high quality, strategic midstream assets that play an integral role in connecting North America’s energy infrastructure.”</w:t>
      </w:r>
    </w:p>
    <w:p w:rsidR="002E3B31" w:rsidRDefault="002E3B31">
      <w:pPr>
        <w:spacing w:line="288" w:lineRule="auto"/>
      </w:pPr>
    </w:p>
    <w:p w:rsidR="002E3B31" w:rsidRDefault="007C6E2D">
      <w:pPr>
        <w:spacing w:line="288" w:lineRule="auto"/>
      </w:pPr>
      <w:r>
        <w:t>During the fourth quarter, Shell Midstream Partners completed the acquisition of strategic infrastructure assets from Shell for $825 million, the partnership's largest acquisition to date. The acquisition price reflects an approximate 7.9 times multiple of the assets' forecasted 2018 adjusted earnings before interest, taxes, depreciation and amortization and is expected to be immediately accretive to unitholders. As part of the acquisition, Shell Midstream Partners further diversified its portfolio with the acquisition of Triton West LLC, which owns 5 refined products terminals located in the Pacific Northwest, Midwest and Gulf Coast. In addition, Shell Midstream Partners acquired 41.48% of the issued and outstanding membership interest in LOCAP LLC, an additional 22.9% interest in Mars Oil Pipeline Company LLC, an additional 22% interest in Odyssey Pipeline L.L.C.  and an additional 10% interest in Explorer Pipeline Company,</w:t>
      </w:r>
    </w:p>
    <w:p w:rsidR="002E3B31" w:rsidRDefault="002E3B31">
      <w:pPr>
        <w:spacing w:after="60" w:line="288" w:lineRule="auto"/>
      </w:pPr>
    </w:p>
    <w:p w:rsidR="002E3B31" w:rsidRDefault="007C6E2D">
      <w:pPr>
        <w:spacing w:after="60" w:line="288" w:lineRule="auto"/>
        <w:jc w:val="both"/>
      </w:pPr>
      <w:r>
        <w:t>The Board of Directors of the general partner previously declared a cash distribution of $0.333 per limited partner unit for the fourth quarter of 2017. This distribution represented an increase of 4.7% over the third quarter 2017 distribution and 20% increase over the fourth quarter 2016 distribution. This represents the twelfth consecutive quarter of distribution growth and  over 100% growth since the initial distribution payment. The distribution coverage ratio was 1.2x for the fourth quarter.</w:t>
      </w:r>
    </w:p>
    <w:p w:rsidR="002E3B31" w:rsidRDefault="002E3B31">
      <w:pPr>
        <w:spacing w:after="60" w:line="288" w:lineRule="auto"/>
        <w:jc w:val="both"/>
      </w:pPr>
    </w:p>
    <w:p w:rsidR="002E3B31" w:rsidRDefault="007C6E2D">
      <w:pPr>
        <w:spacing w:line="288" w:lineRule="auto"/>
      </w:pPr>
      <w:r>
        <w:t>“Earlier this month, we took steps to de-lever our balance sheet, which allows us to remain flexible for future growth,” said Shawn Carsten, CFO, Shell Midstream Partners. “As previously stated, we plan to acquire between $1.0 and $1.4 billion of assets from Shell in 2018, which will be funded with cash on hand and available debt capacity.”</w:t>
      </w:r>
    </w:p>
    <w:p w:rsidR="002E3B31" w:rsidRDefault="002E3B31">
      <w:pPr>
        <w:spacing w:line="288" w:lineRule="auto"/>
      </w:pPr>
    </w:p>
    <w:p w:rsidR="002E3B31" w:rsidRDefault="002E3B31">
      <w:pPr>
        <w:spacing w:after="60" w:line="288" w:lineRule="auto"/>
        <w:jc w:val="both"/>
      </w:pPr>
    </w:p>
    <w:p w:rsidR="002E3B31" w:rsidRDefault="007C6E2D">
      <w:pPr>
        <w:keepNext/>
        <w:pageBreakBefore/>
        <w:spacing w:line="288" w:lineRule="auto"/>
        <w:rPr>
          <w:b/>
        </w:rPr>
      </w:pPr>
      <w:r>
        <w:rPr>
          <w:b/>
        </w:rPr>
        <w:t>FINANCIAL HIGHLIGHTS</w:t>
      </w:r>
    </w:p>
    <w:p w:rsidR="002E3B31" w:rsidRDefault="002E3B31">
      <w:pPr>
        <w:keepNext/>
        <w:spacing w:line="288" w:lineRule="auto"/>
        <w:rPr>
          <w:b/>
        </w:rPr>
      </w:pPr>
    </w:p>
    <w:p w:rsidR="002E3B31" w:rsidRDefault="007C6E2D">
      <w:pPr>
        <w:keepLines/>
        <w:numPr>
          <w:ilvl w:val="0"/>
          <w:numId w:val="1"/>
        </w:numPr>
        <w:spacing w:line="288" w:lineRule="auto"/>
        <w:ind w:left="360"/>
        <w:jc w:val="both"/>
      </w:pPr>
      <w:r>
        <w:t xml:space="preserve">Net income attributable to the partnership was $86.4 million, compared to $72.6 million for the prior quarter, primarily driven by the acquisition completed in December 2017.  </w:t>
      </w:r>
    </w:p>
    <w:p w:rsidR="002E3B31" w:rsidRDefault="007C6E2D">
      <w:pPr>
        <w:keepLines/>
        <w:numPr>
          <w:ilvl w:val="0"/>
          <w:numId w:val="1"/>
        </w:numPr>
        <w:spacing w:line="288" w:lineRule="auto"/>
        <w:ind w:left="360"/>
        <w:jc w:val="both"/>
      </w:pPr>
      <w:r>
        <w:t xml:space="preserve">Cash available for distribution was $97.0 million, compared to $83.9 million for the prior quarter, representing a 15.6% increase quarter on quarter.   </w:t>
      </w:r>
    </w:p>
    <w:p w:rsidR="002E3B31" w:rsidRDefault="007C6E2D">
      <w:pPr>
        <w:keepLines/>
        <w:numPr>
          <w:ilvl w:val="0"/>
          <w:numId w:val="1"/>
        </w:numPr>
        <w:spacing w:line="288" w:lineRule="auto"/>
        <w:ind w:left="360"/>
      </w:pPr>
      <w:r>
        <w:t xml:space="preserve">Total cash distributions declared were $83.1 million resulting in a 1.2x coverage ratio. </w:t>
      </w:r>
    </w:p>
    <w:p w:rsidR="002E3B31" w:rsidRDefault="007C6E2D">
      <w:pPr>
        <w:keepLines/>
        <w:numPr>
          <w:ilvl w:val="0"/>
          <w:numId w:val="1"/>
        </w:numPr>
        <w:spacing w:line="288" w:lineRule="auto"/>
        <w:ind w:left="360"/>
        <w:jc w:val="both"/>
      </w:pPr>
      <w:r>
        <w:t xml:space="preserve">Adjusted EBITDA attributable to the partnership was $118.7 million compared to $92.2 million for the prior quarter, representing an increase of 28.5% above the third quarter. </w:t>
      </w:r>
    </w:p>
    <w:p w:rsidR="002E3B31" w:rsidRDefault="007C6E2D">
      <w:pPr>
        <w:keepLines/>
        <w:numPr>
          <w:ilvl w:val="0"/>
          <w:numId w:val="1"/>
        </w:numPr>
        <w:spacing w:line="288" w:lineRule="auto"/>
        <w:ind w:left="360"/>
        <w:jc w:val="both"/>
      </w:pPr>
      <w:r>
        <w:t xml:space="preserve">As of December 31, 2017, the partnership had $137.7 million of consolidated cash and cash equivalents on hand and $1.8 billion of total debt outstanding.  </w:t>
      </w:r>
    </w:p>
    <w:p w:rsidR="002E3B31" w:rsidRDefault="007C6E2D">
      <w:pPr>
        <w:keepLines/>
        <w:numPr>
          <w:ilvl w:val="0"/>
          <w:numId w:val="1"/>
        </w:numPr>
        <w:spacing w:line="288" w:lineRule="auto"/>
        <w:ind w:left="360"/>
        <w:jc w:val="both"/>
      </w:pPr>
      <w:r>
        <w:t xml:space="preserve">A new $1 billion long-term debt facility was put in place effective December 1, 2017. Our weighted average interest rate for 2017 was 2.7%. </w:t>
      </w:r>
    </w:p>
    <w:p w:rsidR="002E3B31" w:rsidRDefault="007C6E2D">
      <w:pPr>
        <w:keepLines/>
        <w:numPr>
          <w:ilvl w:val="0"/>
          <w:numId w:val="1"/>
        </w:numPr>
        <w:spacing w:line="288" w:lineRule="auto"/>
        <w:ind w:left="360"/>
        <w:jc w:val="both"/>
      </w:pPr>
      <w:r>
        <w:t xml:space="preserve">Following the end of the quarter, the partnership raised approximately $980 million gross proceeds in common equity, including a $300 million private sale of common units to Shell. The partnership used the funds to pay down outstanding debt under its credit facilities and for general partnership purposes. Future growth in 2018 will be funded with cash on hand and debt.  </w:t>
      </w:r>
    </w:p>
    <w:p w:rsidR="002E3B31" w:rsidRDefault="002E3B31">
      <w:pPr>
        <w:keepLines/>
        <w:spacing w:line="288" w:lineRule="auto"/>
      </w:pPr>
    </w:p>
    <w:p w:rsidR="002E3B31" w:rsidRDefault="007C6E2D">
      <w:pPr>
        <w:keepLines/>
        <w:spacing w:line="288" w:lineRule="auto"/>
        <w:rPr>
          <w:i/>
        </w:rPr>
      </w:pPr>
      <w:r>
        <w:rPr>
          <w:i/>
        </w:rPr>
        <w:t>Cash available for distribution and Adjusted EBITDA are non-GAAP supplemental financial measures. See reconciliation tables later in this press release.</w:t>
      </w:r>
    </w:p>
    <w:p w:rsidR="002E3B31" w:rsidRDefault="002E3B31">
      <w:pPr>
        <w:keepLines/>
        <w:spacing w:line="288" w:lineRule="auto"/>
        <w:ind w:left="360"/>
      </w:pPr>
    </w:p>
    <w:p w:rsidR="002E3B31" w:rsidRDefault="007C6E2D">
      <w:pPr>
        <w:keepNext/>
        <w:spacing w:line="288" w:lineRule="auto"/>
        <w:rPr>
          <w:b/>
        </w:rPr>
      </w:pPr>
      <w:r>
        <w:rPr>
          <w:b/>
        </w:rPr>
        <w:t>ASSET HIGHLIGHTS</w:t>
      </w:r>
    </w:p>
    <w:p w:rsidR="002E3B31" w:rsidRDefault="002E3B31">
      <w:pPr>
        <w:keepNext/>
        <w:spacing w:line="288" w:lineRule="auto"/>
        <w:rPr>
          <w:b/>
        </w:rPr>
      </w:pPr>
    </w:p>
    <w:p w:rsidR="002E3B31" w:rsidRDefault="007C6E2D">
      <w:pPr>
        <w:keepLines/>
        <w:spacing w:line="288" w:lineRule="auto"/>
      </w:pPr>
      <w:r>
        <w:t>Onshore Crude and Refined Products Pipelines</w:t>
      </w:r>
    </w:p>
    <w:p w:rsidR="002E3B31" w:rsidRDefault="007C6E2D">
      <w:pPr>
        <w:keepLines/>
        <w:numPr>
          <w:ilvl w:val="0"/>
          <w:numId w:val="2"/>
        </w:numPr>
        <w:spacing w:line="288" w:lineRule="auto"/>
        <w:ind w:left="720"/>
      </w:pPr>
      <w:r>
        <w:t xml:space="preserve">Zydeco - The partnership saw steady demand to move onshore and offshore crude to key markets in Louisiana.  Mainline volumes were 649 kbpd in the current quarter, compared to 616 kbpd in the prior quarter largely due to normalized operations following Hurricane Harvey impacts in the third quarter. </w:t>
      </w:r>
    </w:p>
    <w:p w:rsidR="002E3B31" w:rsidRDefault="007C6E2D">
      <w:pPr>
        <w:keepLines/>
        <w:numPr>
          <w:ilvl w:val="0"/>
          <w:numId w:val="2"/>
        </w:numPr>
        <w:spacing w:line="288" w:lineRule="auto"/>
        <w:ind w:left="720"/>
      </w:pPr>
      <w:r>
        <w:t xml:space="preserve">Colonial - Dividends returned to normal following third quarter impacts from Hurricane Harvey.  </w:t>
      </w:r>
    </w:p>
    <w:p w:rsidR="002E3B31" w:rsidRDefault="007C6E2D">
      <w:pPr>
        <w:keepLines/>
        <w:numPr>
          <w:ilvl w:val="0"/>
          <w:numId w:val="2"/>
        </w:numPr>
        <w:spacing w:line="288" w:lineRule="auto"/>
        <w:ind w:left="720"/>
      </w:pPr>
      <w:r>
        <w:t>Explorer - Volumes were in line with expectations.  Dividends paid in the fourth quarter were in line with the new ownership interest of 12.62%.</w:t>
      </w:r>
    </w:p>
    <w:p w:rsidR="002E3B31" w:rsidRDefault="002E3B31">
      <w:pPr>
        <w:keepLines/>
        <w:spacing w:line="288" w:lineRule="auto"/>
        <w:ind w:left="720"/>
      </w:pPr>
    </w:p>
    <w:p w:rsidR="002E3B31" w:rsidRDefault="007C6E2D">
      <w:pPr>
        <w:keepLines/>
        <w:spacing w:line="288" w:lineRule="auto"/>
      </w:pPr>
      <w:r>
        <w:t>Offshore Crude Pipelines</w:t>
      </w:r>
    </w:p>
    <w:p w:rsidR="002E3B31" w:rsidRDefault="007C6E2D">
      <w:pPr>
        <w:keepLines/>
        <w:numPr>
          <w:ilvl w:val="0"/>
          <w:numId w:val="4"/>
        </w:numPr>
        <w:spacing w:line="288" w:lineRule="auto"/>
        <w:ind w:left="720"/>
      </w:pPr>
      <w:r>
        <w:t xml:space="preserve">Auger - Volumes were 26 kbpd, down from the prior quarter of 78 kbpd due to outages at the Enchilada platform.  </w:t>
      </w:r>
    </w:p>
    <w:p w:rsidR="002E3B31" w:rsidRDefault="007C6E2D">
      <w:pPr>
        <w:keepLines/>
        <w:numPr>
          <w:ilvl w:val="0"/>
          <w:numId w:val="4"/>
        </w:numPr>
        <w:spacing w:line="288" w:lineRule="auto"/>
        <w:ind w:left="720"/>
        <w:jc w:val="both"/>
      </w:pPr>
      <w:r>
        <w:t>Mars -  Volumes were 449 kbpd compared to 480 kbpd in the prior quarter. Third quarter volumes were largely driven by deliveries out the caverns.  Dividends paid in the fourth quarter were in line with the new ownership interest of 71.5%.</w:t>
      </w:r>
    </w:p>
    <w:p w:rsidR="002E3B31" w:rsidRDefault="007C6E2D">
      <w:pPr>
        <w:keepLines/>
        <w:numPr>
          <w:ilvl w:val="0"/>
          <w:numId w:val="4"/>
        </w:numPr>
        <w:spacing w:line="288" w:lineRule="auto"/>
        <w:ind w:left="720"/>
      </w:pPr>
      <w:r>
        <w:t xml:space="preserve">Poseidon - Volumes were 240 kbpd, slightly lower than the prior quarter of 257 kbpd.  </w:t>
      </w:r>
    </w:p>
    <w:p w:rsidR="002E3B31" w:rsidRDefault="007C6E2D">
      <w:pPr>
        <w:keepLines/>
        <w:numPr>
          <w:ilvl w:val="0"/>
          <w:numId w:val="4"/>
        </w:numPr>
        <w:spacing w:line="288" w:lineRule="auto"/>
        <w:ind w:left="720"/>
      </w:pPr>
      <w:r>
        <w:t xml:space="preserve">Odyssey - Volumes were 98 kbpd, lower than the prior quarter of 135 kbpd primarily due to outages at Delta House.  </w:t>
      </w:r>
    </w:p>
    <w:p w:rsidR="002E3B31" w:rsidRDefault="002E3B31">
      <w:pPr>
        <w:keepLines/>
        <w:spacing w:line="288" w:lineRule="auto"/>
      </w:pPr>
    </w:p>
    <w:p w:rsidR="002E3B31" w:rsidRDefault="007C6E2D">
      <w:pPr>
        <w:keepLines/>
        <w:spacing w:line="288" w:lineRule="auto"/>
      </w:pPr>
      <w:r>
        <w:t>Terminals and Storage</w:t>
      </w:r>
    </w:p>
    <w:p w:rsidR="002E3B31" w:rsidRDefault="007C6E2D">
      <w:pPr>
        <w:keepLines/>
        <w:numPr>
          <w:ilvl w:val="0"/>
          <w:numId w:val="5"/>
        </w:numPr>
        <w:spacing w:line="288" w:lineRule="auto"/>
        <w:ind w:left="720"/>
      </w:pPr>
      <w:r>
        <w:t xml:space="preserve">Lockport - Storage volumes were slightly higher than the prior quarter.  The terminal is currently 80% utilized. </w:t>
      </w:r>
    </w:p>
    <w:p w:rsidR="002E3B31" w:rsidRDefault="007C6E2D">
      <w:pPr>
        <w:keepLines/>
        <w:numPr>
          <w:ilvl w:val="0"/>
          <w:numId w:val="5"/>
        </w:numPr>
        <w:spacing w:line="288" w:lineRule="auto"/>
        <w:ind w:left="720"/>
        <w:jc w:val="both"/>
      </w:pPr>
      <w:r>
        <w:t xml:space="preserve">Refined Products Terminals - The acquisition of 5 refined products terminals in the Pacific Northwest, Midwest and Gulf Coast closed on December 1, 2017.  </w:t>
      </w:r>
    </w:p>
    <w:p w:rsidR="002E3B31" w:rsidRDefault="007C6E2D">
      <w:pPr>
        <w:keepNext/>
        <w:spacing w:before="360" w:line="288" w:lineRule="auto"/>
        <w:rPr>
          <w:b/>
        </w:rPr>
      </w:pPr>
      <w:r>
        <w:rPr>
          <w:b/>
        </w:rPr>
        <w:t>ABOUT SHELL MIDSTREAM PARTNERS, L.P.</w:t>
      </w:r>
    </w:p>
    <w:p w:rsidR="002E3B31" w:rsidRDefault="007C6E2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88" w:lineRule="auto"/>
        <w:jc w:val="both"/>
      </w:pPr>
      <w:r>
        <w:t>Shell Midstream Partners, headquartered in Houston, Texas, is a fee-based, growth-oriented master limited partnership that owns, operates, develops and acquires pipelines and other midstream assets. Our assets include interests in entities that own crude oil and refined products pipelines and terminals that serve as key infrastructure to (i) transport onshore and offshore crude oil production to Gulf Coast and Midwest refining markets and (ii) deliver refined products from those markets to major demand centers. Our assets also include interests in entities that own natural gas and refinery gas pipelines which transport offshore natural gas to market hubs and deliver refinery gas from refineries and plants to chemical sites along the Gulf Coast.</w:t>
      </w:r>
    </w:p>
    <w:p w:rsidR="002E3B31" w:rsidRDefault="007C6E2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pPr>
      <w:r>
        <w:t>For more information on Shell Midstream Partners and the assets owned by the partnership, please visit www.shellmidstreampartners.com.</w:t>
      </w:r>
    </w:p>
    <w:p w:rsidR="002E3B31" w:rsidRDefault="007C6E2D">
      <w:pPr>
        <w:keepNext/>
        <w:spacing w:before="360" w:line="288" w:lineRule="auto"/>
        <w:rPr>
          <w:b/>
        </w:rPr>
      </w:pPr>
      <w:r>
        <w:rPr>
          <w:b/>
        </w:rPr>
        <w:t>FORTHCOMING EVENTS</w:t>
      </w:r>
    </w:p>
    <w:p w:rsidR="002E3B31" w:rsidRDefault="007C6E2D">
      <w:pPr>
        <w:keepNext/>
        <w:spacing w:before="360" w:line="288" w:lineRule="auto"/>
        <w:jc w:val="both"/>
      </w:pPr>
      <w:r>
        <w:t xml:space="preserve">At 9 a.m. CST today, Shell Midstream Partners will hold a webcast to discuss the reported results and provide an update on partnership operations. Interested parties may listen to the conference call on Shell Midstream Partners’ website at </w:t>
      </w:r>
      <w:r>
        <w:rPr>
          <w:color w:val="000000"/>
          <w:u w:val="single" w:color="000000"/>
        </w:rPr>
        <w:t>www.shellmidstreampartners.com</w:t>
      </w:r>
      <w:r>
        <w:t xml:space="preserve"> by clicking on the “2017 Fourth-Quarter Financial Results Webcast” link, found under the "Events and Conferences" section.  A replay of the conference call will be available following the live webcast.</w:t>
      </w:r>
    </w:p>
    <w:p w:rsidR="002E3B31" w:rsidRDefault="002E3B31">
      <w:pPr>
        <w:spacing w:line="288" w:lineRule="auto"/>
      </w:pPr>
    </w:p>
    <w:p w:rsidR="002E3B31" w:rsidRDefault="002E3B31">
      <w:pPr>
        <w:spacing w:line="288" w:lineRule="auto"/>
      </w:pPr>
    </w:p>
    <w:p w:rsidR="002E3B31" w:rsidRDefault="002E3B31">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DA014A" w:rsidRDefault="00DA014A">
      <w:pPr>
        <w:spacing w:line="288" w:lineRule="auto"/>
      </w:pPr>
    </w:p>
    <w:p w:rsidR="002E3B31" w:rsidRDefault="002E3B31">
      <w:pPr>
        <w:spacing w:line="288" w:lineRule="auto"/>
      </w:pPr>
    </w:p>
    <w:p w:rsidR="002E3B31" w:rsidRDefault="002E3B31">
      <w:pPr>
        <w:spacing w:line="288" w:lineRule="auto"/>
      </w:pPr>
    </w:p>
    <w:p w:rsidR="002E3B31" w:rsidRDefault="002E3B31">
      <w:pPr>
        <w:spacing w:line="288" w:lineRule="auto"/>
      </w:pPr>
    </w:p>
    <w:p w:rsidR="002E3B31" w:rsidRDefault="002E3B31">
      <w:pPr>
        <w:spacing w:line="288" w:lineRule="auto"/>
      </w:pPr>
    </w:p>
    <w:p w:rsidR="002E3B31" w:rsidRDefault="002E3B31">
      <w:pPr>
        <w:sectPr w:rsidR="002E3B31">
          <w:headerReference w:type="default" r:id="rId9"/>
          <w:footerReference w:type="default" r:id="rId10"/>
          <w:pgSz w:w="12240" w:h="15840"/>
          <w:pgMar w:top="860" w:right="1000" w:bottom="860" w:left="1000" w:header="160" w:footer="460" w:gutter="0"/>
          <w:pgNumType w:chapSep="period"/>
          <w:cols w:space="720"/>
        </w:sectPr>
      </w:pPr>
    </w:p>
    <w:p w:rsidR="002E3B31" w:rsidRDefault="007C6E2D">
      <w:pPr>
        <w:keepNext/>
        <w:spacing w:line="288" w:lineRule="auto"/>
        <w:rPr>
          <w:b/>
          <w:sz w:val="22"/>
        </w:rPr>
      </w:pPr>
      <w:r>
        <w:rPr>
          <w:b/>
          <w:sz w:val="22"/>
        </w:rPr>
        <w:t>Summarized Financial Statement Information</w:t>
      </w:r>
      <w:bookmarkStart w:id="1" w:name="Financial_Statements"/>
      <w:bookmarkEnd w:id="1"/>
    </w:p>
    <w:p w:rsidR="002E3B31" w:rsidRDefault="002E3B31">
      <w:pPr>
        <w:spacing w:after="140"/>
        <w:jc w:val="center"/>
      </w:pPr>
    </w:p>
    <w:tbl>
      <w:tblPr>
        <w:tblW w:w="10200" w:type="dxa"/>
        <w:jc w:val="center"/>
        <w:tblLayout w:type="fixed"/>
        <w:tblCellMar>
          <w:left w:w="10" w:type="dxa"/>
          <w:right w:w="10" w:type="dxa"/>
        </w:tblCellMar>
        <w:tblLook w:val="04A0" w:firstRow="1" w:lastRow="0" w:firstColumn="1" w:lastColumn="0" w:noHBand="0" w:noVBand="1"/>
      </w:tblPr>
      <w:tblGrid>
        <w:gridCol w:w="5080"/>
        <w:gridCol w:w="80"/>
        <w:gridCol w:w="110"/>
        <w:gridCol w:w="1333"/>
        <w:gridCol w:w="77"/>
        <w:gridCol w:w="80"/>
        <w:gridCol w:w="110"/>
        <w:gridCol w:w="1493"/>
        <w:gridCol w:w="77"/>
        <w:gridCol w:w="80"/>
        <w:gridCol w:w="110"/>
        <w:gridCol w:w="1493"/>
        <w:gridCol w:w="77"/>
      </w:tblGrid>
      <w:tr w:rsidR="00DA014A" w:rsidTr="00DA014A">
        <w:trPr>
          <w:trHeight w:hRule="exact" w:val="280"/>
          <w:jc w:val="center"/>
        </w:trPr>
        <w:tc>
          <w:tcPr>
            <w:tcW w:w="5080" w:type="dxa"/>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11"/>
            <w:tcMar>
              <w:left w:w="60" w:type="dxa"/>
              <w:right w:w="60" w:type="dxa"/>
            </w:tcMar>
            <w:vAlign w:val="bottom"/>
          </w:tcPr>
          <w:p w:rsidR="002E3B31" w:rsidRDefault="007C6E2D">
            <w:pPr>
              <w:keepNext/>
              <w:keepLines/>
              <w:spacing w:before="40" w:after="40"/>
              <w:jc w:val="center"/>
              <w:rPr>
                <w:b/>
                <w:sz w:val="16"/>
              </w:rPr>
            </w:pPr>
            <w:r>
              <w:rPr>
                <w:b/>
                <w:sz w:val="16"/>
              </w:rPr>
              <w:t>For the Three Months Ended</w:t>
            </w:r>
          </w:p>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rPr>
                <w:b/>
                <w:sz w:val="16"/>
              </w:rPr>
            </w:pPr>
            <w:r>
              <w:rPr>
                <w:b/>
                <w:sz w:val="16"/>
              </w:rPr>
              <w:t>(in millions of dollars)</w:t>
            </w:r>
          </w:p>
        </w:tc>
        <w:tc>
          <w:tcPr>
            <w:tcW w:w="80" w:type="dxa"/>
            <w:tcMar>
              <w:left w:w="60" w:type="dxa"/>
              <w:right w:w="0" w:type="dxa"/>
            </w:tcMar>
            <w:vAlign w:val="bottom"/>
          </w:tcPr>
          <w:p w:rsidR="002E3B31" w:rsidRDefault="002E3B3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80" w:type="dxa"/>
            <w:tcBorders>
              <w:top w:val="single" w:sz="8" w:space="0" w:color="auto"/>
            </w:tcBorders>
            <w:tcMar>
              <w:left w:w="60" w:type="dxa"/>
              <w:right w:w="0" w:type="dxa"/>
            </w:tcMar>
            <w:vAlign w:val="bottom"/>
          </w:tcPr>
          <w:p w:rsidR="002E3B31" w:rsidRDefault="002E3B3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September 30, 2017</w:t>
            </w:r>
            <w:r>
              <w:rPr>
                <w:b/>
                <w:sz w:val="16"/>
                <w:vertAlign w:val="superscript"/>
              </w:rPr>
              <w:t xml:space="preserve"> (1)</w:t>
            </w:r>
          </w:p>
        </w:tc>
        <w:tc>
          <w:tcPr>
            <w:tcW w:w="80" w:type="dxa"/>
            <w:tcBorders>
              <w:top w:val="single" w:sz="8" w:space="0" w:color="auto"/>
              <w:bottom w:val="single" w:sz="8" w:space="0" w:color="auto"/>
            </w:tcBorders>
            <w:tcMar>
              <w:left w:w="0" w:type="dxa"/>
              <w:right w:w="0" w:type="dxa"/>
            </w:tcMar>
            <w:vAlign w:val="bottom"/>
          </w:tcPr>
          <w:p w:rsidR="002E3B31" w:rsidRDefault="002E3B3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 xml:space="preserve">September 30, 2017 </w:t>
            </w:r>
            <w:r>
              <w:rPr>
                <w:b/>
                <w:sz w:val="16"/>
                <w:vertAlign w:val="superscript"/>
              </w:rPr>
              <w:t>(2)</w:t>
            </w:r>
          </w:p>
        </w:tc>
      </w:tr>
      <w:tr w:rsidR="002E3B31">
        <w:trPr>
          <w:trHeight w:hRule="exact" w:val="300"/>
          <w:jc w:val="center"/>
        </w:trPr>
        <w:tc>
          <w:tcPr>
            <w:tcW w:w="5080" w:type="dxa"/>
            <w:tcMar>
              <w:left w:w="60" w:type="dxa"/>
              <w:right w:w="40" w:type="dxa"/>
            </w:tcMar>
            <w:vAlign w:val="bottom"/>
          </w:tcPr>
          <w:p w:rsidR="002E3B31" w:rsidRDefault="007C6E2D">
            <w:pPr>
              <w:keepNext/>
              <w:keepLines/>
              <w:spacing w:before="40" w:after="40"/>
            </w:pPr>
            <w:r>
              <w:t xml:space="preserve">Revenue </w:t>
            </w:r>
            <w:r>
              <w:rPr>
                <w:vertAlign w:val="superscript"/>
              </w:rPr>
              <w:t>(3)</w:t>
            </w:r>
          </w:p>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33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126.8</w:t>
            </w:r>
          </w:p>
        </w:tc>
        <w:tc>
          <w:tcPr>
            <w:tcW w:w="77" w:type="dxa"/>
            <w:tcBorders>
              <w:top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49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121.8</w:t>
            </w:r>
          </w:p>
        </w:tc>
        <w:tc>
          <w:tcPr>
            <w:tcW w:w="77" w:type="dxa"/>
            <w:tcBorders>
              <w:top w:val="single" w:sz="8" w:space="0" w:color="auto"/>
            </w:tcBorders>
            <w:tcMar>
              <w:left w:w="0" w:type="dxa"/>
              <w:right w:w="0" w:type="dxa"/>
            </w:tcMar>
          </w:tcPr>
          <w:p w:rsidR="002E3B31" w:rsidRDefault="002E3B31"/>
        </w:tc>
        <w:tc>
          <w:tcPr>
            <w:tcW w:w="80" w:type="dxa"/>
            <w:tcBorders>
              <w:top w:val="single" w:sz="8" w:space="0" w:color="auto"/>
            </w:tcBorders>
            <w:tcMar>
              <w:left w:w="0" w:type="dxa"/>
              <w:right w:w="60" w:type="dxa"/>
            </w:tcMar>
            <w:vAlign w:val="bottom"/>
          </w:tcPr>
          <w:p w:rsidR="002E3B31" w:rsidRDefault="002E3B31">
            <w:pPr>
              <w:keepNext/>
              <w:keepLines/>
              <w:spacing w:before="40" w:after="40"/>
            </w:pPr>
          </w:p>
        </w:tc>
        <w:tc>
          <w:tcPr>
            <w:tcW w:w="110" w:type="dxa"/>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49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94.4</w:t>
            </w:r>
          </w:p>
        </w:tc>
        <w:tc>
          <w:tcPr>
            <w:tcW w:w="77" w:type="dxa"/>
            <w:tcBorders>
              <w:top w:val="single" w:sz="8" w:space="0" w:color="auto"/>
            </w:tcBorders>
            <w:tcMar>
              <w:left w:w="0" w:type="dxa"/>
              <w:right w:w="0" w:type="dxa"/>
            </w:tcMar>
          </w:tcPr>
          <w:p w:rsidR="002E3B31" w:rsidRDefault="002E3B31"/>
        </w:tc>
      </w:tr>
      <w:tr w:rsidR="00DA014A" w:rsidTr="00DA014A">
        <w:trPr>
          <w:trHeight w:hRule="exact" w:val="280"/>
          <w:jc w:val="center"/>
        </w:trPr>
        <w:tc>
          <w:tcPr>
            <w:tcW w:w="5080" w:type="dxa"/>
            <w:tcMar>
              <w:left w:w="60" w:type="dxa"/>
              <w:right w:w="40" w:type="dxa"/>
            </w:tcMar>
            <w:vAlign w:val="bottom"/>
          </w:tcPr>
          <w:p w:rsidR="002E3B31" w:rsidRDefault="007C6E2D">
            <w:pPr>
              <w:keepNext/>
              <w:keepLines/>
              <w:spacing w:before="40" w:after="40"/>
            </w:pPr>
            <w:r>
              <w:rPr>
                <w:color w:val="000000"/>
              </w:rPr>
              <w:t>Costs and expenses</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Operations and maintenance</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39.8</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40.7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34.2</w:t>
            </w:r>
          </w:p>
        </w:tc>
        <w:tc>
          <w:tcPr>
            <w:tcW w:w="77" w:type="dxa"/>
            <w:tcMar>
              <w:left w:w="0" w:type="dxa"/>
              <w:right w:w="0" w:type="dxa"/>
            </w:tcMar>
          </w:tcPr>
          <w:p w:rsidR="002E3B31" w:rsidRDefault="002E3B31"/>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Loss from disposition of fixed assets</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0.1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General and administrative</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14.9</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13.6</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9.6</w:t>
            </w:r>
          </w:p>
        </w:tc>
        <w:tc>
          <w:tcPr>
            <w:tcW w:w="77" w:type="dxa"/>
            <w:tcMar>
              <w:left w:w="0" w:type="dxa"/>
              <w:right w:w="0" w:type="dxa"/>
            </w:tcMar>
          </w:tcPr>
          <w:p w:rsidR="002E3B31" w:rsidRDefault="002E3B31"/>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Depreciation, amortization and accretion</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11.7</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10.7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8.9</w:t>
            </w:r>
          </w:p>
        </w:tc>
        <w:tc>
          <w:tcPr>
            <w:tcW w:w="77" w:type="dxa"/>
            <w:tcMar>
              <w:left w:w="0" w:type="dxa"/>
              <w:right w:w="0" w:type="dxa"/>
            </w:tcMar>
          </w:tcPr>
          <w:p w:rsidR="002E3B31" w:rsidRDefault="002E3B31"/>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Property and other taxes</w:t>
            </w:r>
          </w:p>
        </w:tc>
        <w:tc>
          <w:tcPr>
            <w:tcW w:w="80" w:type="dxa"/>
            <w:tcMar>
              <w:left w:w="60" w:type="dxa"/>
              <w:right w:w="0" w:type="dxa"/>
            </w:tcMar>
            <w:vAlign w:val="bottom"/>
          </w:tcPr>
          <w:p w:rsidR="002E3B31" w:rsidRDefault="002E3B31">
            <w:pPr>
              <w:keepNext/>
              <w:keepLines/>
              <w:spacing w:before="40" w:after="40"/>
            </w:pPr>
          </w:p>
        </w:tc>
        <w:tc>
          <w:tcPr>
            <w:tcW w:w="14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3.8</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4.5</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3.6</w:t>
            </w:r>
          </w:p>
        </w:tc>
        <w:tc>
          <w:tcPr>
            <w:tcW w:w="77" w:type="dxa"/>
            <w:tcBorders>
              <w:bottom w:val="single" w:sz="8" w:space="0" w:color="auto"/>
            </w:tcBorders>
            <w:tcMar>
              <w:left w:w="0" w:type="dxa"/>
              <w:right w:w="0" w:type="dxa"/>
            </w:tcMar>
          </w:tcPr>
          <w:p w:rsidR="002E3B31" w:rsidRDefault="002E3B31"/>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Total costs and expenses</w:t>
            </w:r>
          </w:p>
        </w:tc>
        <w:tc>
          <w:tcPr>
            <w:tcW w:w="80" w:type="dxa"/>
            <w:tcMar>
              <w:left w:w="60" w:type="dxa"/>
              <w:right w:w="0" w:type="dxa"/>
            </w:tcMar>
            <w:vAlign w:val="bottom"/>
          </w:tcPr>
          <w:p w:rsidR="002E3B31" w:rsidRDefault="002E3B31">
            <w:pPr>
              <w:keepNext/>
              <w:keepLines/>
              <w:spacing w:before="40" w:after="40"/>
            </w:pPr>
          </w:p>
        </w:tc>
        <w:tc>
          <w:tcPr>
            <w:tcW w:w="14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70.3</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69.5</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56.3</w:t>
            </w:r>
          </w:p>
        </w:tc>
        <w:tc>
          <w:tcPr>
            <w:tcW w:w="77" w:type="dxa"/>
            <w:tcBorders>
              <w:bottom w:val="single" w:sz="8" w:space="0" w:color="auto"/>
            </w:tcBorders>
            <w:tcMar>
              <w:left w:w="0" w:type="dxa"/>
              <w:right w:w="0" w:type="dxa"/>
            </w:tcMar>
          </w:tcPr>
          <w:p w:rsidR="002E3B31" w:rsidRDefault="002E3B31"/>
        </w:tc>
      </w:tr>
      <w:tr w:rsidR="00DA014A" w:rsidTr="00DA014A">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Operating income</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56.5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52.3</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38.1</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Income from equity investments</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46.1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49.1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41.2</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Dividend income from investment</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10.2</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7.8</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4.8</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Other income</w:t>
            </w:r>
          </w:p>
        </w:tc>
        <w:tc>
          <w:tcPr>
            <w:tcW w:w="80" w:type="dxa"/>
            <w:tcMar>
              <w:left w:w="60" w:type="dxa"/>
              <w:right w:w="0" w:type="dxa"/>
            </w:tcMar>
            <w:vAlign w:val="bottom"/>
          </w:tcPr>
          <w:p w:rsidR="002E3B31" w:rsidRDefault="002E3B31">
            <w:pPr>
              <w:keepNext/>
              <w:keepLines/>
              <w:spacing w:before="40" w:after="40"/>
            </w:pPr>
          </w:p>
        </w:tc>
        <w:tc>
          <w:tcPr>
            <w:tcW w:w="14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gridSpan w:val="3"/>
            <w:tcBorders>
              <w:bottom w:val="single" w:sz="8" w:space="0" w:color="auto"/>
            </w:tcBorders>
            <w:tcMar>
              <w:left w:w="0" w:type="dxa"/>
              <w:right w:w="60" w:type="dxa"/>
            </w:tcMar>
            <w:vAlign w:val="bottom"/>
          </w:tcPr>
          <w:p w:rsidR="002E3B31" w:rsidRDefault="002E3B31">
            <w:pPr>
              <w:keepNext/>
              <w:keepLines/>
              <w:spacing w:before="40" w:after="40"/>
            </w:pPr>
          </w:p>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0.1</w:t>
            </w:r>
          </w:p>
        </w:tc>
        <w:tc>
          <w:tcPr>
            <w:tcW w:w="77" w:type="dxa"/>
            <w:tcBorders>
              <w:bottom w:val="single" w:sz="8" w:space="0" w:color="auto"/>
            </w:tcBorders>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Investment, dividend and other income</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56.3</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56.9</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46.1</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Interest expense, net</w:t>
            </w:r>
          </w:p>
        </w:tc>
        <w:tc>
          <w:tcPr>
            <w:tcW w:w="80" w:type="dxa"/>
            <w:tcMar>
              <w:left w:w="60" w:type="dxa"/>
              <w:right w:w="0" w:type="dxa"/>
            </w:tcMar>
            <w:vAlign w:val="bottom"/>
          </w:tcPr>
          <w:p w:rsidR="002E3B31" w:rsidRDefault="002E3B31">
            <w:pPr>
              <w:keepNext/>
              <w:keepLines/>
              <w:spacing w:before="40" w:after="40"/>
            </w:pPr>
          </w:p>
        </w:tc>
        <w:tc>
          <w:tcPr>
            <w:tcW w:w="14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10.2</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9.7</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9.7</w:t>
            </w:r>
          </w:p>
        </w:tc>
        <w:tc>
          <w:tcPr>
            <w:tcW w:w="77" w:type="dxa"/>
            <w:tcBorders>
              <w:bottom w:val="single" w:sz="8" w:space="0" w:color="auto"/>
            </w:tcBorders>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Income before income taxes</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102.6</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99.5</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74.5</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Income tax expense</w:t>
            </w:r>
          </w:p>
        </w:tc>
        <w:tc>
          <w:tcPr>
            <w:tcW w:w="80" w:type="dxa"/>
            <w:tcMar>
              <w:left w:w="60" w:type="dxa"/>
              <w:right w:w="0" w:type="dxa"/>
            </w:tcMar>
            <w:vAlign w:val="bottom"/>
          </w:tcPr>
          <w:p w:rsidR="002E3B31" w:rsidRDefault="002E3B31">
            <w:pPr>
              <w:keepNext/>
              <w:keepLines/>
              <w:spacing w:before="40" w:after="40"/>
            </w:pPr>
          </w:p>
        </w:tc>
        <w:tc>
          <w:tcPr>
            <w:tcW w:w="14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0.1</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Net income</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102.5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99.5</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74.5</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Net income attributable to Parent</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11.2</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22.1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Less: Net income attributable to noncontrolling interests</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4.9</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4.8</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1.9</w:t>
            </w:r>
          </w:p>
        </w:tc>
        <w:tc>
          <w:tcPr>
            <w:tcW w:w="77" w:type="dxa"/>
            <w:tcMar>
              <w:left w:w="0" w:type="dxa"/>
              <w:right w:w="0" w:type="dxa"/>
            </w:tcMar>
          </w:tcPr>
          <w:p w:rsidR="002E3B31" w:rsidRDefault="002E3B31"/>
        </w:tc>
      </w:tr>
      <w:tr w:rsidR="002E3B31">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Net income attributable to the Partnership</w:t>
            </w:r>
          </w:p>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33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86.4</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49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72.6</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Borders>
              <w:top w:val="single" w:sz="8" w:space="0" w:color="auto"/>
              <w:bottom w:val="double" w:sz="4" w:space="0" w:color="auto"/>
            </w:tcBorders>
            <w:tcMar>
              <w:left w:w="0" w:type="dxa"/>
              <w:right w:w="60" w:type="dxa"/>
            </w:tcMar>
            <w:vAlign w:val="bottom"/>
          </w:tcPr>
          <w:p w:rsidR="002E3B31" w:rsidRDefault="002E3B3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49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72.6</w:t>
            </w:r>
          </w:p>
        </w:tc>
        <w:tc>
          <w:tcPr>
            <w:tcW w:w="77" w:type="dxa"/>
            <w:tcBorders>
              <w:top w:val="single" w:sz="8" w:space="0" w:color="auto"/>
              <w:bottom w:val="double" w:sz="4" w:space="0" w:color="auto"/>
            </w:tcBorders>
            <w:tcMar>
              <w:left w:w="0" w:type="dxa"/>
              <w:right w:w="0" w:type="dxa"/>
            </w:tcMar>
          </w:tcPr>
          <w:p w:rsidR="002E3B31" w:rsidRDefault="002E3B31"/>
        </w:tc>
      </w:tr>
      <w:tr w:rsidR="004546ED" w:rsidTr="004546ED">
        <w:trPr>
          <w:trHeight w:hRule="exact" w:val="460"/>
          <w:jc w:val="center"/>
        </w:trPr>
        <w:tc>
          <w:tcPr>
            <w:tcW w:w="5080" w:type="dxa"/>
            <w:tcMar>
              <w:left w:w="60" w:type="dxa"/>
              <w:right w:w="40" w:type="dxa"/>
            </w:tcMar>
            <w:vAlign w:val="bottom"/>
          </w:tcPr>
          <w:p w:rsidR="002E3B31" w:rsidRDefault="007C6E2D">
            <w:pPr>
              <w:keepNext/>
              <w:keepLines/>
              <w:spacing w:before="40" w:after="40"/>
            </w:pPr>
            <w:r>
              <w:rPr>
                <w:color w:val="000000"/>
              </w:rPr>
              <w:t>Less: general partner's interest in net income attributable to the Partnership</w:t>
            </w:r>
          </w:p>
        </w:tc>
        <w:tc>
          <w:tcPr>
            <w:tcW w:w="80" w:type="dxa"/>
            <w:tcMar>
              <w:left w:w="60" w:type="dxa"/>
              <w:right w:w="0" w:type="dxa"/>
            </w:tcMar>
            <w:vAlign w:val="bottom"/>
          </w:tcPr>
          <w:p w:rsidR="002E3B31" w:rsidRDefault="002E3B31">
            <w:pPr>
              <w:keepNext/>
              <w:keepLines/>
              <w:spacing w:before="40" w:after="40"/>
            </w:pPr>
          </w:p>
        </w:tc>
        <w:tc>
          <w:tcPr>
            <w:tcW w:w="1443" w:type="dxa"/>
            <w:gridSpan w:val="2"/>
            <w:tcBorders>
              <w:top w:val="double" w:sz="4" w:space="0" w:color="auto"/>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20.6</w:t>
            </w:r>
          </w:p>
        </w:tc>
        <w:tc>
          <w:tcPr>
            <w:tcW w:w="77" w:type="dxa"/>
            <w:tcBorders>
              <w:top w:val="double" w:sz="4" w:space="0" w:color="auto"/>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17.6</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17.6</w:t>
            </w:r>
          </w:p>
        </w:tc>
        <w:tc>
          <w:tcPr>
            <w:tcW w:w="77" w:type="dxa"/>
            <w:tcBorders>
              <w:bottom w:val="single" w:sz="8" w:space="0" w:color="auto"/>
            </w:tcBorders>
            <w:tcMar>
              <w:left w:w="0" w:type="dxa"/>
              <w:right w:w="0" w:type="dxa"/>
            </w:tcMar>
          </w:tcPr>
          <w:p w:rsidR="002E3B31" w:rsidRDefault="002E3B31"/>
        </w:tc>
      </w:tr>
      <w:tr w:rsidR="002E3B31">
        <w:trPr>
          <w:trHeight w:hRule="exact" w:val="480"/>
          <w:jc w:val="center"/>
        </w:trPr>
        <w:tc>
          <w:tcPr>
            <w:tcW w:w="5080" w:type="dxa"/>
            <w:tcMar>
              <w:left w:w="60" w:type="dxa"/>
              <w:right w:w="40" w:type="dxa"/>
            </w:tcMar>
            <w:vAlign w:val="bottom"/>
          </w:tcPr>
          <w:p w:rsidR="002E3B31" w:rsidRDefault="007C6E2D">
            <w:pPr>
              <w:keepNext/>
              <w:keepLines/>
              <w:spacing w:before="40" w:after="40"/>
            </w:pPr>
            <w:r>
              <w:rPr>
                <w:color w:val="000000"/>
              </w:rPr>
              <w:t>Limited Partners' interest in net income attributable to the Partnership</w:t>
            </w:r>
          </w:p>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33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65.8</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49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55.0</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Borders>
              <w:top w:val="single" w:sz="8" w:space="0" w:color="auto"/>
              <w:bottom w:val="double" w:sz="4" w:space="0" w:color="auto"/>
            </w:tcBorders>
            <w:tcMar>
              <w:left w:w="0" w:type="dxa"/>
              <w:right w:w="60" w:type="dxa"/>
            </w:tcMar>
            <w:vAlign w:val="bottom"/>
          </w:tcPr>
          <w:p w:rsidR="002E3B31" w:rsidRDefault="002E3B3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49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55.0</w:t>
            </w:r>
          </w:p>
        </w:tc>
        <w:tc>
          <w:tcPr>
            <w:tcW w:w="77" w:type="dxa"/>
            <w:tcBorders>
              <w:top w:val="single" w:sz="8" w:space="0" w:color="auto"/>
              <w:bottom w:val="double" w:sz="4" w:space="0" w:color="auto"/>
            </w:tcBorders>
            <w:tcMar>
              <w:left w:w="0" w:type="dxa"/>
              <w:right w:w="0" w:type="dxa"/>
            </w:tcMar>
          </w:tcPr>
          <w:p w:rsidR="002E3B31" w:rsidRDefault="002E3B31"/>
        </w:tc>
      </w:tr>
      <w:tr w:rsidR="004546ED" w:rsidTr="004546ED">
        <w:trPr>
          <w:trHeight w:hRule="exact" w:val="160"/>
          <w:jc w:val="center"/>
        </w:trPr>
        <w:tc>
          <w:tcPr>
            <w:tcW w:w="5080" w:type="dxa"/>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460"/>
          <w:jc w:val="center"/>
        </w:trPr>
        <w:tc>
          <w:tcPr>
            <w:tcW w:w="5080" w:type="dxa"/>
            <w:tcMar>
              <w:left w:w="60" w:type="dxa"/>
              <w:right w:w="40" w:type="dxa"/>
            </w:tcMar>
            <w:vAlign w:val="bottom"/>
          </w:tcPr>
          <w:p w:rsidR="002E3B31" w:rsidRDefault="007C6E2D">
            <w:pPr>
              <w:keepNext/>
              <w:keepLines/>
              <w:spacing w:before="40" w:after="40"/>
            </w:pPr>
            <w:r>
              <w:rPr>
                <w:color w:val="000000"/>
              </w:rPr>
              <w:t>Net income per Limited Partner Unit – Basic and Diluted (in dollars):</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2E3B31">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Common</w:t>
            </w:r>
          </w:p>
        </w:tc>
        <w:tc>
          <w:tcPr>
            <w:tcW w:w="80" w:type="dxa"/>
            <w:tcMar>
              <w:left w:w="60" w:type="dxa"/>
              <w:right w:w="0" w:type="dxa"/>
            </w:tcMar>
            <w:vAlign w:val="bottom"/>
          </w:tcPr>
          <w:p w:rsidR="002E3B31" w:rsidRDefault="002E3B31">
            <w:pPr>
              <w:keepNext/>
              <w:keepLines/>
              <w:spacing w:before="40" w:after="40"/>
            </w:pPr>
          </w:p>
        </w:tc>
        <w:tc>
          <w:tcPr>
            <w:tcW w:w="110" w:type="dxa"/>
            <w:tcMar>
              <w:left w:w="0" w:type="dxa"/>
              <w:right w:w="0" w:type="dxa"/>
            </w:tcMar>
            <w:vAlign w:val="bottom"/>
          </w:tcPr>
          <w:p w:rsidR="002E3B31" w:rsidRDefault="007C6E2D">
            <w:pPr>
              <w:keepNext/>
              <w:keepLines/>
              <w:spacing w:before="40" w:after="40"/>
            </w:pPr>
            <w:r>
              <w:rPr>
                <w:color w:val="000000"/>
              </w:rPr>
              <w:t>$</w:t>
            </w:r>
          </w:p>
        </w:tc>
        <w:tc>
          <w:tcPr>
            <w:tcW w:w="1333" w:type="dxa"/>
            <w:tcMar>
              <w:left w:w="0" w:type="dxa"/>
              <w:right w:w="0" w:type="dxa"/>
            </w:tcMar>
            <w:vAlign w:val="bottom"/>
          </w:tcPr>
          <w:p w:rsidR="002E3B31" w:rsidRDefault="007C6E2D">
            <w:pPr>
              <w:keepNext/>
              <w:keepLines/>
              <w:spacing w:before="40" w:after="40"/>
              <w:jc w:val="right"/>
            </w:pPr>
            <w:r>
              <w:rPr>
                <w:color w:val="000000"/>
              </w:rPr>
              <w:t>0.35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tcMar>
              <w:left w:w="0" w:type="dxa"/>
              <w:right w:w="0" w:type="dxa"/>
            </w:tcMar>
            <w:vAlign w:val="bottom"/>
          </w:tcPr>
          <w:p w:rsidR="002E3B31" w:rsidRDefault="007C6E2D">
            <w:pPr>
              <w:keepNext/>
              <w:keepLines/>
              <w:spacing w:before="40" w:after="40"/>
            </w:pPr>
            <w:r>
              <w:rPr>
                <w:color w:val="000000"/>
              </w:rPr>
              <w:t>$</w:t>
            </w:r>
          </w:p>
        </w:tc>
        <w:tc>
          <w:tcPr>
            <w:tcW w:w="1493" w:type="dxa"/>
            <w:tcMar>
              <w:left w:w="0" w:type="dxa"/>
              <w:right w:w="0" w:type="dxa"/>
            </w:tcMar>
            <w:vAlign w:val="bottom"/>
          </w:tcPr>
          <w:p w:rsidR="002E3B31" w:rsidRDefault="007C6E2D">
            <w:pPr>
              <w:keepNext/>
              <w:keepLines/>
              <w:spacing w:before="40" w:after="40"/>
              <w:jc w:val="right"/>
            </w:pPr>
            <w:r>
              <w:rPr>
                <w:color w:val="000000"/>
              </w:rPr>
              <w:t>0.31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10" w:type="dxa"/>
            <w:tcMar>
              <w:left w:w="0" w:type="dxa"/>
              <w:right w:w="0" w:type="dxa"/>
            </w:tcMar>
            <w:vAlign w:val="bottom"/>
          </w:tcPr>
          <w:p w:rsidR="002E3B31" w:rsidRDefault="007C6E2D">
            <w:pPr>
              <w:keepNext/>
              <w:keepLines/>
              <w:spacing w:before="40" w:after="40"/>
            </w:pPr>
            <w:r>
              <w:rPr>
                <w:color w:val="000000"/>
              </w:rPr>
              <w:t>$</w:t>
            </w:r>
          </w:p>
        </w:tc>
        <w:tc>
          <w:tcPr>
            <w:tcW w:w="1493" w:type="dxa"/>
            <w:tcMar>
              <w:left w:w="0" w:type="dxa"/>
              <w:right w:w="0" w:type="dxa"/>
            </w:tcMar>
            <w:vAlign w:val="bottom"/>
          </w:tcPr>
          <w:p w:rsidR="002E3B31" w:rsidRDefault="007C6E2D">
            <w:pPr>
              <w:keepNext/>
              <w:keepLines/>
              <w:spacing w:before="40" w:after="40"/>
              <w:jc w:val="right"/>
            </w:pPr>
            <w:r>
              <w:rPr>
                <w:color w:val="000000"/>
              </w:rPr>
              <w:t>0.31</w:t>
            </w:r>
          </w:p>
        </w:tc>
        <w:tc>
          <w:tcPr>
            <w:tcW w:w="77" w:type="dxa"/>
            <w:tcMar>
              <w:left w:w="0" w:type="dxa"/>
              <w:right w:w="0" w:type="dxa"/>
            </w:tcMar>
          </w:tcPr>
          <w:p w:rsidR="002E3B31" w:rsidRDefault="002E3B31"/>
        </w:tc>
      </w:tr>
      <w:tr w:rsidR="002E3B31">
        <w:trPr>
          <w:trHeight w:hRule="exact" w:val="300"/>
          <w:jc w:val="center"/>
        </w:trPr>
        <w:tc>
          <w:tcPr>
            <w:tcW w:w="5080" w:type="dxa"/>
            <w:tcMar>
              <w:left w:w="60" w:type="dxa"/>
              <w:right w:w="40" w:type="dxa"/>
            </w:tcMar>
            <w:vAlign w:val="bottom"/>
          </w:tcPr>
          <w:p w:rsidR="002E3B31" w:rsidRDefault="007C6E2D">
            <w:pPr>
              <w:keepNext/>
              <w:keepLines/>
              <w:spacing w:before="40" w:after="40"/>
            </w:pPr>
            <w:r>
              <w:t xml:space="preserve">Subordinated </w:t>
            </w:r>
            <w:r>
              <w:rPr>
                <w:vertAlign w:val="superscript"/>
              </w:rPr>
              <w:t>(4)</w:t>
            </w:r>
          </w:p>
        </w:tc>
        <w:tc>
          <w:tcPr>
            <w:tcW w:w="80" w:type="dxa"/>
            <w:tcMar>
              <w:left w:w="60" w:type="dxa"/>
              <w:right w:w="0" w:type="dxa"/>
            </w:tcMar>
            <w:vAlign w:val="bottom"/>
          </w:tcPr>
          <w:p w:rsidR="002E3B31" w:rsidRDefault="002E3B31">
            <w:pPr>
              <w:keepNext/>
              <w:keepLines/>
              <w:spacing w:before="40" w:after="40"/>
            </w:pPr>
          </w:p>
        </w:tc>
        <w:tc>
          <w:tcPr>
            <w:tcW w:w="110" w:type="dxa"/>
            <w:tcMar>
              <w:left w:w="0" w:type="dxa"/>
              <w:right w:w="0" w:type="dxa"/>
            </w:tcMar>
            <w:vAlign w:val="bottom"/>
          </w:tcPr>
          <w:p w:rsidR="002E3B31" w:rsidRDefault="007C6E2D">
            <w:pPr>
              <w:keepNext/>
              <w:keepLines/>
              <w:spacing w:before="40" w:after="40"/>
            </w:pPr>
            <w:r>
              <w:rPr>
                <w:color w:val="000000"/>
              </w:rPr>
              <w:t>$</w:t>
            </w:r>
          </w:p>
        </w:tc>
        <w:tc>
          <w:tcPr>
            <w:tcW w:w="1333" w:type="dxa"/>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tcMar>
              <w:left w:w="0" w:type="dxa"/>
              <w:right w:w="0" w:type="dxa"/>
            </w:tcMar>
            <w:vAlign w:val="bottom"/>
          </w:tcPr>
          <w:p w:rsidR="002E3B31" w:rsidRDefault="007C6E2D">
            <w:pPr>
              <w:keepNext/>
              <w:keepLines/>
              <w:spacing w:before="40" w:after="40"/>
            </w:pPr>
            <w:r>
              <w:rPr>
                <w:color w:val="000000"/>
              </w:rPr>
              <w:t>$</w:t>
            </w:r>
          </w:p>
        </w:tc>
        <w:tc>
          <w:tcPr>
            <w:tcW w:w="1493" w:type="dxa"/>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10" w:type="dxa"/>
            <w:tcMar>
              <w:left w:w="0" w:type="dxa"/>
              <w:right w:w="0" w:type="dxa"/>
            </w:tcMar>
            <w:vAlign w:val="bottom"/>
          </w:tcPr>
          <w:p w:rsidR="002E3B31" w:rsidRDefault="007C6E2D">
            <w:pPr>
              <w:keepNext/>
              <w:keepLines/>
              <w:spacing w:before="40" w:after="40"/>
            </w:pPr>
            <w:r>
              <w:rPr>
                <w:color w:val="000000"/>
              </w:rPr>
              <w:t>$</w:t>
            </w:r>
          </w:p>
        </w:tc>
        <w:tc>
          <w:tcPr>
            <w:tcW w:w="1493" w:type="dxa"/>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4546ED" w:rsidTr="004546ED">
        <w:trPr>
          <w:trHeight w:hRule="exact" w:val="140"/>
          <w:jc w:val="center"/>
        </w:trPr>
        <w:tc>
          <w:tcPr>
            <w:tcW w:w="5080" w:type="dxa"/>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480"/>
          <w:jc w:val="center"/>
        </w:trPr>
        <w:tc>
          <w:tcPr>
            <w:tcW w:w="5080" w:type="dxa"/>
            <w:tcMar>
              <w:left w:w="60" w:type="dxa"/>
              <w:right w:w="40" w:type="dxa"/>
            </w:tcMar>
            <w:vAlign w:val="bottom"/>
          </w:tcPr>
          <w:p w:rsidR="002E3B31" w:rsidRDefault="007C6E2D">
            <w:pPr>
              <w:keepNext/>
              <w:keepLines/>
              <w:spacing w:before="40" w:after="40"/>
            </w:pPr>
            <w:r>
              <w:rPr>
                <w:color w:val="000000"/>
              </w:rPr>
              <w:t>Weighted average Limited Partner Units outstanding – Basic and Diluted (in millions):</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300"/>
          <w:jc w:val="center"/>
        </w:trPr>
        <w:tc>
          <w:tcPr>
            <w:tcW w:w="5080" w:type="dxa"/>
            <w:tcMar>
              <w:left w:w="60" w:type="dxa"/>
              <w:right w:w="40" w:type="dxa"/>
            </w:tcMar>
            <w:vAlign w:val="bottom"/>
          </w:tcPr>
          <w:p w:rsidR="002E3B31" w:rsidRDefault="007C6E2D">
            <w:pPr>
              <w:keepNext/>
              <w:keepLines/>
              <w:spacing w:before="40" w:after="40"/>
            </w:pPr>
            <w:r>
              <w:rPr>
                <w:color w:val="000000"/>
              </w:rPr>
              <w:t>Common units – public</w:t>
            </w:r>
          </w:p>
        </w:tc>
        <w:tc>
          <w:tcPr>
            <w:tcW w:w="80" w:type="dxa"/>
            <w:tcMar>
              <w:left w:w="60" w:type="dxa"/>
              <w:right w:w="0" w:type="dxa"/>
            </w:tcMar>
            <w:vAlign w:val="bottom"/>
          </w:tcPr>
          <w:p w:rsidR="002E3B31" w:rsidRDefault="002E3B31">
            <w:pPr>
              <w:keepNext/>
              <w:keepLines/>
              <w:spacing w:before="40" w:after="40"/>
            </w:pPr>
          </w:p>
        </w:tc>
        <w:tc>
          <w:tcPr>
            <w:tcW w:w="1443" w:type="dxa"/>
            <w:gridSpan w:val="2"/>
            <w:tcMar>
              <w:left w:w="0" w:type="dxa"/>
              <w:right w:w="0" w:type="dxa"/>
            </w:tcMar>
            <w:vAlign w:val="bottom"/>
          </w:tcPr>
          <w:p w:rsidR="002E3B31" w:rsidRDefault="007C6E2D">
            <w:pPr>
              <w:keepNext/>
              <w:keepLines/>
              <w:spacing w:before="40" w:after="40"/>
              <w:jc w:val="right"/>
            </w:pPr>
            <w:r>
              <w:rPr>
                <w:color w:val="000000"/>
              </w:rPr>
              <w:t>98.8</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90.2</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90.2</w:t>
            </w:r>
          </w:p>
        </w:tc>
        <w:tc>
          <w:tcPr>
            <w:tcW w:w="77" w:type="dxa"/>
            <w:tcMar>
              <w:left w:w="0" w:type="dxa"/>
              <w:right w:w="0" w:type="dxa"/>
            </w:tcMar>
          </w:tcPr>
          <w:p w:rsidR="002E3B31" w:rsidRDefault="002E3B31"/>
        </w:tc>
      </w:tr>
      <w:tr w:rsidR="004546ED" w:rsidTr="004546ED">
        <w:trPr>
          <w:trHeight w:hRule="exact" w:val="300"/>
          <w:jc w:val="center"/>
        </w:trPr>
        <w:tc>
          <w:tcPr>
            <w:tcW w:w="5080" w:type="dxa"/>
            <w:tcMar>
              <w:left w:w="60" w:type="dxa"/>
              <w:right w:w="40" w:type="dxa"/>
            </w:tcMar>
            <w:vAlign w:val="bottom"/>
          </w:tcPr>
          <w:p w:rsidR="002E3B31" w:rsidRDefault="007C6E2D">
            <w:pPr>
              <w:keepLines/>
              <w:spacing w:before="40" w:after="40"/>
            </w:pPr>
            <w:r>
              <w:rPr>
                <w:color w:val="000000"/>
              </w:rPr>
              <w:t>Common units – SPLC</w:t>
            </w:r>
          </w:p>
        </w:tc>
        <w:tc>
          <w:tcPr>
            <w:tcW w:w="80" w:type="dxa"/>
            <w:tcMar>
              <w:left w:w="60" w:type="dxa"/>
              <w:right w:w="0" w:type="dxa"/>
            </w:tcMar>
            <w:vAlign w:val="bottom"/>
          </w:tcPr>
          <w:p w:rsidR="002E3B31" w:rsidRDefault="002E3B31">
            <w:pPr>
              <w:keepLines/>
              <w:spacing w:before="40" w:after="40"/>
            </w:pPr>
          </w:p>
        </w:tc>
        <w:tc>
          <w:tcPr>
            <w:tcW w:w="1443" w:type="dxa"/>
            <w:gridSpan w:val="2"/>
            <w:tcMar>
              <w:left w:w="0" w:type="dxa"/>
              <w:right w:w="0" w:type="dxa"/>
            </w:tcMar>
            <w:vAlign w:val="bottom"/>
          </w:tcPr>
          <w:p w:rsidR="002E3B31" w:rsidRDefault="007C6E2D">
            <w:pPr>
              <w:keepLines/>
              <w:spacing w:before="40" w:after="40"/>
              <w:jc w:val="right"/>
            </w:pPr>
            <w:r>
              <w:rPr>
                <w:color w:val="000000"/>
              </w:rPr>
              <w:t>89.0</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Lines/>
              <w:spacing w:before="40" w:after="40"/>
            </w:pPr>
          </w:p>
        </w:tc>
        <w:tc>
          <w:tcPr>
            <w:tcW w:w="1603" w:type="dxa"/>
            <w:gridSpan w:val="2"/>
            <w:tcMar>
              <w:left w:w="0" w:type="dxa"/>
              <w:right w:w="0" w:type="dxa"/>
            </w:tcMar>
            <w:vAlign w:val="bottom"/>
          </w:tcPr>
          <w:p w:rsidR="002E3B31" w:rsidRDefault="007C6E2D">
            <w:pPr>
              <w:keepLines/>
              <w:spacing w:before="40" w:after="40"/>
              <w:jc w:val="right"/>
            </w:pPr>
            <w:r>
              <w:rPr>
                <w:color w:val="000000"/>
              </w:rPr>
              <w:t>89.0</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Lines/>
              <w:spacing w:before="40" w:after="40"/>
            </w:pPr>
          </w:p>
        </w:tc>
        <w:tc>
          <w:tcPr>
            <w:tcW w:w="1603" w:type="dxa"/>
            <w:gridSpan w:val="2"/>
            <w:tcMar>
              <w:left w:w="0" w:type="dxa"/>
              <w:right w:w="0" w:type="dxa"/>
            </w:tcMar>
            <w:vAlign w:val="bottom"/>
          </w:tcPr>
          <w:p w:rsidR="002E3B31" w:rsidRDefault="007C6E2D">
            <w:pPr>
              <w:keepLines/>
              <w:spacing w:before="40" w:after="40"/>
              <w:jc w:val="right"/>
            </w:pPr>
            <w:r>
              <w:rPr>
                <w:color w:val="000000"/>
              </w:rPr>
              <w:t>89.0</w:t>
            </w:r>
          </w:p>
        </w:tc>
        <w:tc>
          <w:tcPr>
            <w:tcW w:w="77" w:type="dxa"/>
            <w:tcMar>
              <w:left w:w="0" w:type="dxa"/>
              <w:right w:w="0" w:type="dxa"/>
            </w:tcMar>
          </w:tcPr>
          <w:p w:rsidR="002E3B31" w:rsidRDefault="002E3B31"/>
        </w:tc>
      </w:tr>
    </w:tbl>
    <w:p w:rsidR="002E3B31" w:rsidRDefault="002E3B31">
      <w:pPr>
        <w:spacing w:before="60" w:line="288" w:lineRule="auto"/>
        <w:jc w:val="center"/>
      </w:pPr>
    </w:p>
    <w:p w:rsidR="002E3B31" w:rsidRDefault="007C6E2D">
      <w:pPr>
        <w:spacing w:line="288" w:lineRule="auto"/>
        <w:rPr>
          <w:vertAlign w:val="superscript"/>
        </w:rPr>
      </w:pPr>
      <w:r>
        <w:rPr>
          <w:vertAlign w:val="superscript"/>
        </w:rPr>
        <w:t>(1)</w:t>
      </w:r>
      <w:r>
        <w:rPr>
          <w:i/>
        </w:rPr>
        <w:t xml:space="preserve"> Prior quarter financial information has been retrospectively adjusted for the acquisition completed in December 2017.</w:t>
      </w:r>
    </w:p>
    <w:p w:rsidR="002E3B31" w:rsidRDefault="007C6E2D">
      <w:pPr>
        <w:spacing w:line="288" w:lineRule="auto"/>
        <w:rPr>
          <w:vertAlign w:val="superscript"/>
        </w:rPr>
      </w:pPr>
      <w:r>
        <w:rPr>
          <w:vertAlign w:val="superscript"/>
        </w:rPr>
        <w:t>(2)</w:t>
      </w:r>
      <w:r>
        <w:rPr>
          <w:i/>
        </w:rPr>
        <w:t xml:space="preserve"> As previously reported in our Quarterly Report on Form 10-Q for the period ended September 30, 2017.</w:t>
      </w:r>
    </w:p>
    <w:p w:rsidR="002E3B31" w:rsidRDefault="007C6E2D">
      <w:pPr>
        <w:spacing w:line="288" w:lineRule="auto"/>
        <w:rPr>
          <w:vertAlign w:val="superscript"/>
        </w:rPr>
      </w:pPr>
      <w:r>
        <w:rPr>
          <w:vertAlign w:val="superscript"/>
        </w:rPr>
        <w:t>(3)</w:t>
      </w:r>
      <w:r>
        <w:rPr>
          <w:i/>
        </w:rPr>
        <w:t xml:space="preserve"> Deferred revenue for the three months ended December 31, 2017 and September 30, 2017, including the impact of overshipments and expiring credits, was $9.9 million and $2.3 million, respectively.</w:t>
      </w:r>
    </w:p>
    <w:p w:rsidR="002E3B31" w:rsidRDefault="007C6E2D">
      <w:pPr>
        <w:spacing w:line="288" w:lineRule="auto"/>
        <w:rPr>
          <w:vertAlign w:val="superscript"/>
        </w:rPr>
      </w:pPr>
      <w:r>
        <w:rPr>
          <w:vertAlign w:val="superscript"/>
        </w:rPr>
        <w:t>(4)</w:t>
      </w:r>
      <w:r>
        <w:rPr>
          <w:i/>
        </w:rPr>
        <w:t xml:space="preserve"> The subordinated units converted into common units on February 15, 2017, and were considered outstanding common units for the entire period with respect to the weighted average number of units outstanding.</w:t>
      </w:r>
    </w:p>
    <w:p w:rsidR="002E3B31" w:rsidRDefault="002E3B31">
      <w:pPr>
        <w:spacing w:line="288" w:lineRule="auto"/>
        <w:rPr>
          <w:i/>
        </w:rPr>
      </w:pPr>
    </w:p>
    <w:p w:rsidR="002E3B31" w:rsidRDefault="002E3B31">
      <w:pPr>
        <w:spacing w:after="140"/>
      </w:pPr>
    </w:p>
    <w:tbl>
      <w:tblPr>
        <w:tblW w:w="10160" w:type="dxa"/>
        <w:jc w:val="center"/>
        <w:tblLayout w:type="fixed"/>
        <w:tblCellMar>
          <w:left w:w="10" w:type="dxa"/>
          <w:right w:w="10" w:type="dxa"/>
        </w:tblCellMar>
        <w:tblLook w:val="04A0" w:firstRow="1" w:lastRow="0" w:firstColumn="1" w:lastColumn="0" w:noHBand="0" w:noVBand="1"/>
      </w:tblPr>
      <w:tblGrid>
        <w:gridCol w:w="5200"/>
        <w:gridCol w:w="80"/>
        <w:gridCol w:w="110"/>
        <w:gridCol w:w="1293"/>
        <w:gridCol w:w="77"/>
        <w:gridCol w:w="80"/>
        <w:gridCol w:w="110"/>
        <w:gridCol w:w="1433"/>
        <w:gridCol w:w="77"/>
        <w:gridCol w:w="80"/>
        <w:gridCol w:w="110"/>
        <w:gridCol w:w="1433"/>
        <w:gridCol w:w="77"/>
      </w:tblGrid>
      <w:tr w:rsidR="004546ED" w:rsidTr="004546ED">
        <w:trPr>
          <w:trHeight w:hRule="exact" w:val="640"/>
          <w:jc w:val="center"/>
        </w:trPr>
        <w:tc>
          <w:tcPr>
            <w:tcW w:w="10160" w:type="dxa"/>
            <w:gridSpan w:val="13"/>
            <w:tcMar>
              <w:left w:w="60" w:type="dxa"/>
              <w:right w:w="40" w:type="dxa"/>
            </w:tcMar>
            <w:vAlign w:val="bottom"/>
          </w:tcPr>
          <w:p w:rsidR="002E3B31" w:rsidRDefault="007C6E2D">
            <w:pPr>
              <w:keepNext/>
              <w:keepLines/>
              <w:spacing w:before="40" w:after="40"/>
              <w:rPr>
                <w:b/>
                <w:sz w:val="22"/>
              </w:rPr>
            </w:pPr>
            <w:r>
              <w:rPr>
                <w:b/>
                <w:sz w:val="22"/>
              </w:rPr>
              <w:t>Reconciliation of Adjusted EBITDA and Cash Available for Distribution to Net Income</w:t>
            </w:r>
          </w:p>
        </w:tc>
      </w:tr>
      <w:tr w:rsidR="004546ED" w:rsidTr="004546ED">
        <w:trPr>
          <w:trHeight w:hRule="exact" w:val="640"/>
          <w:jc w:val="center"/>
        </w:trPr>
        <w:tc>
          <w:tcPr>
            <w:tcW w:w="5200" w:type="dxa"/>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11"/>
            <w:tcMar>
              <w:left w:w="60" w:type="dxa"/>
              <w:right w:w="60" w:type="dxa"/>
            </w:tcMar>
            <w:vAlign w:val="bottom"/>
          </w:tcPr>
          <w:p w:rsidR="002E3B31" w:rsidRDefault="007C6E2D">
            <w:pPr>
              <w:keepNext/>
              <w:keepLines/>
              <w:spacing w:before="40" w:after="40"/>
              <w:jc w:val="center"/>
              <w:rPr>
                <w:b/>
                <w:sz w:val="16"/>
              </w:rPr>
            </w:pPr>
            <w:r>
              <w:rPr>
                <w:b/>
                <w:sz w:val="16"/>
              </w:rPr>
              <w:t>For the Three Months Ended</w:t>
            </w:r>
          </w:p>
        </w:tc>
      </w:tr>
      <w:tr w:rsidR="004546ED" w:rsidTr="004546ED">
        <w:trPr>
          <w:trHeight w:hRule="exact" w:val="400"/>
          <w:jc w:val="center"/>
        </w:trPr>
        <w:tc>
          <w:tcPr>
            <w:tcW w:w="5200" w:type="dxa"/>
            <w:tcMar>
              <w:left w:w="60" w:type="dxa"/>
              <w:right w:w="40" w:type="dxa"/>
            </w:tcMar>
            <w:vAlign w:val="bottom"/>
          </w:tcPr>
          <w:p w:rsidR="002E3B31" w:rsidRDefault="007C6E2D">
            <w:pPr>
              <w:keepNext/>
              <w:keepLines/>
              <w:spacing w:before="40" w:after="40"/>
              <w:rPr>
                <w:b/>
                <w:sz w:val="16"/>
              </w:rPr>
            </w:pPr>
            <w:r>
              <w:rPr>
                <w:b/>
                <w:sz w:val="16"/>
              </w:rPr>
              <w:t>(in millions of dollars)</w:t>
            </w:r>
          </w:p>
        </w:tc>
        <w:tc>
          <w:tcPr>
            <w:tcW w:w="80" w:type="dxa"/>
            <w:tcMar>
              <w:left w:w="60" w:type="dxa"/>
              <w:right w:w="0" w:type="dxa"/>
            </w:tcMar>
            <w:vAlign w:val="bottom"/>
          </w:tcPr>
          <w:p w:rsidR="002E3B31" w:rsidRDefault="002E3B3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80" w:type="dxa"/>
            <w:tcBorders>
              <w:top w:val="single" w:sz="8" w:space="0" w:color="auto"/>
            </w:tcBorders>
            <w:tcMar>
              <w:left w:w="60" w:type="dxa"/>
              <w:right w:w="0" w:type="dxa"/>
            </w:tcMar>
            <w:vAlign w:val="bottom"/>
          </w:tcPr>
          <w:p w:rsidR="002E3B31" w:rsidRDefault="002E3B3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September 30, 2017</w:t>
            </w:r>
            <w:r>
              <w:rPr>
                <w:b/>
                <w:sz w:val="16"/>
                <w:vertAlign w:val="superscript"/>
              </w:rPr>
              <w:t xml:space="preserve"> (1)</w:t>
            </w:r>
          </w:p>
        </w:tc>
        <w:tc>
          <w:tcPr>
            <w:tcW w:w="80" w:type="dxa"/>
            <w:tcBorders>
              <w:top w:val="single" w:sz="8" w:space="0" w:color="auto"/>
              <w:bottom w:val="single" w:sz="8" w:space="0" w:color="auto"/>
            </w:tcBorders>
            <w:tcMar>
              <w:left w:w="0" w:type="dxa"/>
              <w:right w:w="0" w:type="dxa"/>
            </w:tcMar>
            <w:vAlign w:val="bottom"/>
          </w:tcPr>
          <w:p w:rsidR="002E3B31" w:rsidRDefault="002E3B3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 xml:space="preserve">September 30, 2017 </w:t>
            </w:r>
            <w:r>
              <w:rPr>
                <w:b/>
                <w:sz w:val="16"/>
                <w:vertAlign w:val="superscript"/>
              </w:rPr>
              <w:t>(2)</w:t>
            </w:r>
          </w:p>
        </w:tc>
      </w:tr>
      <w:tr w:rsidR="002E3B31">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Net income</w:t>
            </w:r>
          </w:p>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29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102.5</w:t>
            </w:r>
          </w:p>
        </w:tc>
        <w:tc>
          <w:tcPr>
            <w:tcW w:w="77" w:type="dxa"/>
            <w:tcBorders>
              <w:top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99.5</w:t>
            </w:r>
          </w:p>
        </w:tc>
        <w:tc>
          <w:tcPr>
            <w:tcW w:w="77" w:type="dxa"/>
            <w:tcBorders>
              <w:top w:val="single" w:sz="8" w:space="0" w:color="auto"/>
            </w:tcBorders>
            <w:tcMar>
              <w:left w:w="0" w:type="dxa"/>
              <w:right w:w="0" w:type="dxa"/>
            </w:tcMar>
          </w:tcPr>
          <w:p w:rsidR="002E3B31" w:rsidRDefault="002E3B31"/>
        </w:tc>
        <w:tc>
          <w:tcPr>
            <w:tcW w:w="80" w:type="dxa"/>
            <w:tcBorders>
              <w:top w:val="single" w:sz="8" w:space="0" w:color="auto"/>
            </w:tcBorders>
            <w:tcMar>
              <w:left w:w="0" w:type="dxa"/>
              <w:right w:w="60" w:type="dxa"/>
            </w:tcMar>
            <w:vAlign w:val="bottom"/>
          </w:tcPr>
          <w:p w:rsidR="002E3B31" w:rsidRDefault="002E3B31">
            <w:pPr>
              <w:keepNext/>
              <w:keepLines/>
              <w:spacing w:before="40" w:after="40"/>
            </w:pPr>
          </w:p>
        </w:tc>
        <w:tc>
          <w:tcPr>
            <w:tcW w:w="110" w:type="dxa"/>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74.5</w:t>
            </w:r>
          </w:p>
        </w:tc>
        <w:tc>
          <w:tcPr>
            <w:tcW w:w="77" w:type="dxa"/>
            <w:tcBorders>
              <w:top w:val="single" w:sz="8" w:space="0" w:color="auto"/>
            </w:tcBorders>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Add:</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Loss from disposition of fixed assets</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0.1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Depreciation, amortization and accretion</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11.7</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10.7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8.9</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Interest expense, net</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10.2</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Income tax expense</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0.1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Cash distribution received from equity investments</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52.1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48.4</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42.5</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Less:</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Income from equity investments</w:t>
            </w:r>
          </w:p>
        </w:tc>
        <w:tc>
          <w:tcPr>
            <w:tcW w:w="80" w:type="dxa"/>
            <w:tcMar>
              <w:left w:w="60" w:type="dxa"/>
              <w:right w:w="0" w:type="dxa"/>
            </w:tcMar>
            <w:vAlign w:val="bottom"/>
          </w:tcPr>
          <w:p w:rsidR="002E3B31" w:rsidRDefault="002E3B31">
            <w:pPr>
              <w:keepNext/>
              <w:keepLines/>
              <w:spacing w:before="40" w:after="40"/>
            </w:pPr>
          </w:p>
        </w:tc>
        <w:tc>
          <w:tcPr>
            <w:tcW w:w="14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46.1</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49.1</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5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41.2</w:t>
            </w:r>
          </w:p>
        </w:tc>
        <w:tc>
          <w:tcPr>
            <w:tcW w:w="77" w:type="dxa"/>
            <w:tcBorders>
              <w:bottom w:val="single" w:sz="8" w:space="0" w:color="auto"/>
            </w:tcBorders>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t>Adjusted EBITDA</w:t>
            </w:r>
          </w:p>
        </w:tc>
        <w:tc>
          <w:tcPr>
            <w:tcW w:w="80" w:type="dxa"/>
            <w:tcMar>
              <w:left w:w="60" w:type="dxa"/>
              <w:right w:w="0" w:type="dxa"/>
            </w:tcMar>
            <w:vAlign w:val="bottom"/>
          </w:tcPr>
          <w:p w:rsidR="002E3B31" w:rsidRDefault="002E3B31">
            <w:pPr>
              <w:keepNext/>
              <w:keepLines/>
              <w:spacing w:before="40" w:after="40"/>
            </w:pPr>
          </w:p>
        </w:tc>
        <w:tc>
          <w:tcPr>
            <w:tcW w:w="1403" w:type="dxa"/>
            <w:gridSpan w:val="2"/>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130.6</w:t>
            </w:r>
          </w:p>
        </w:tc>
        <w:tc>
          <w:tcPr>
            <w:tcW w:w="77" w:type="dxa"/>
            <w:tcBorders>
              <w:top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119.2</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94.4</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Less:</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Adjusted EBITDA attributable to Parent</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6.6</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21.8</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Adjusted EBITDA attributable to noncontrolling interests</w:t>
            </w:r>
          </w:p>
        </w:tc>
        <w:tc>
          <w:tcPr>
            <w:tcW w:w="80" w:type="dxa"/>
            <w:tcMar>
              <w:left w:w="60" w:type="dxa"/>
              <w:right w:w="0" w:type="dxa"/>
            </w:tcMar>
            <w:vAlign w:val="bottom"/>
          </w:tcPr>
          <w:p w:rsidR="002E3B31" w:rsidRDefault="002E3B31">
            <w:pPr>
              <w:keepNext/>
              <w:keepLines/>
              <w:spacing w:before="40" w:after="40"/>
            </w:pPr>
          </w:p>
        </w:tc>
        <w:tc>
          <w:tcPr>
            <w:tcW w:w="140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5.3</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5.2</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543" w:type="dxa"/>
            <w:gridSpan w:val="2"/>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2.2</w:t>
            </w:r>
          </w:p>
        </w:tc>
        <w:tc>
          <w:tcPr>
            <w:tcW w:w="77" w:type="dxa"/>
            <w:tcBorders>
              <w:bottom w:val="single" w:sz="8" w:space="0" w:color="auto"/>
            </w:tcBorders>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t>Adjusted EBITDA attributable to the Partnership</w:t>
            </w:r>
          </w:p>
        </w:tc>
        <w:tc>
          <w:tcPr>
            <w:tcW w:w="80" w:type="dxa"/>
            <w:tcMar>
              <w:left w:w="60" w:type="dxa"/>
              <w:right w:w="0" w:type="dxa"/>
            </w:tcMar>
            <w:vAlign w:val="bottom"/>
          </w:tcPr>
          <w:p w:rsidR="002E3B31" w:rsidRDefault="002E3B31">
            <w:pPr>
              <w:keepNext/>
              <w:keepLines/>
              <w:spacing w:before="40" w:after="40"/>
            </w:pPr>
          </w:p>
        </w:tc>
        <w:tc>
          <w:tcPr>
            <w:tcW w:w="1403" w:type="dxa"/>
            <w:gridSpan w:val="2"/>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118.7</w:t>
            </w:r>
          </w:p>
        </w:tc>
        <w:tc>
          <w:tcPr>
            <w:tcW w:w="77" w:type="dxa"/>
            <w:tcBorders>
              <w:top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92.2</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92.2</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Less:</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Net interest paid attributable to the Partnership</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10.3</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Maintenance capex attributable to the Partnership</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6.6</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6.1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6.1</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Add:</w:t>
            </w: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3"/>
            <w:tcMar>
              <w:left w:w="60" w:type="dxa"/>
              <w:right w:w="0" w:type="dxa"/>
            </w:tcMar>
            <w:vAlign w:val="bottom"/>
          </w:tcPr>
          <w:p w:rsidR="002E3B31" w:rsidRDefault="002E3B31">
            <w:pPr>
              <w:keepNext/>
              <w:keepLines/>
              <w:spacing w:before="40" w:after="40"/>
            </w:pPr>
          </w:p>
        </w:tc>
      </w:tr>
      <w:tr w:rsidR="004546ED" w:rsidTr="004546ED">
        <w:trPr>
          <w:trHeight w:hRule="exact" w:val="540"/>
          <w:jc w:val="center"/>
        </w:trPr>
        <w:tc>
          <w:tcPr>
            <w:tcW w:w="5200" w:type="dxa"/>
            <w:tcMar>
              <w:left w:w="60" w:type="dxa"/>
              <w:right w:w="40" w:type="dxa"/>
            </w:tcMar>
            <w:vAlign w:val="bottom"/>
          </w:tcPr>
          <w:p w:rsidR="002E3B31" w:rsidRDefault="007C6E2D">
            <w:pPr>
              <w:keepNext/>
              <w:keepLines/>
              <w:spacing w:before="40" w:after="40"/>
            </w:pPr>
            <w:r>
              <w:rPr>
                <w:color w:val="000000"/>
              </w:rPr>
              <w:t>Net adjustments from volume deficiency payments attributable to the Partnership</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(7.3</w:t>
            </w:r>
          </w:p>
        </w:tc>
        <w:tc>
          <w:tcPr>
            <w:tcW w:w="77" w:type="dxa"/>
            <w:tcMar>
              <w:left w:w="0" w:type="dxa"/>
              <w:right w:w="0" w:type="dxa"/>
            </w:tcMar>
            <w:vAlign w:val="bottom"/>
          </w:tcPr>
          <w:p w:rsidR="002E3B31" w:rsidRDefault="007C6E2D">
            <w:pPr>
              <w:keepNext/>
              <w:keepLines/>
              <w:spacing w:before="40" w:after="40"/>
            </w:pPr>
            <w:r>
              <w:rPr>
                <w:color w:val="000000"/>
              </w:rPr>
              <w:t>)</w:t>
            </w:r>
          </w:p>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4.4</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4.4</w:t>
            </w:r>
          </w:p>
        </w:tc>
        <w:tc>
          <w:tcPr>
            <w:tcW w:w="77" w:type="dxa"/>
            <w:tcMar>
              <w:left w:w="0" w:type="dxa"/>
              <w:right w:w="0" w:type="dxa"/>
            </w:tcMar>
          </w:tcPr>
          <w:p w:rsidR="002E3B31" w:rsidRDefault="002E3B31"/>
        </w:tc>
      </w:tr>
      <w:tr w:rsidR="004546ED" w:rsidTr="004546ED">
        <w:trPr>
          <w:trHeight w:hRule="exact" w:val="300"/>
          <w:jc w:val="center"/>
        </w:trPr>
        <w:tc>
          <w:tcPr>
            <w:tcW w:w="5200" w:type="dxa"/>
            <w:tcMar>
              <w:left w:w="60" w:type="dxa"/>
              <w:right w:w="40" w:type="dxa"/>
            </w:tcMar>
            <w:vAlign w:val="bottom"/>
          </w:tcPr>
          <w:p w:rsidR="002E3B31" w:rsidRDefault="007C6E2D">
            <w:pPr>
              <w:keepNext/>
              <w:keepLines/>
              <w:spacing w:before="40" w:after="40"/>
            </w:pPr>
            <w:r>
              <w:rPr>
                <w:color w:val="000000"/>
              </w:rPr>
              <w:t>Reimbursements from Parent included in partners' capital</w:t>
            </w:r>
          </w:p>
        </w:tc>
        <w:tc>
          <w:tcPr>
            <w:tcW w:w="80" w:type="dxa"/>
            <w:tcMar>
              <w:left w:w="60" w:type="dxa"/>
              <w:right w:w="0" w:type="dxa"/>
            </w:tcMar>
            <w:vAlign w:val="bottom"/>
          </w:tcPr>
          <w:p w:rsidR="002E3B31" w:rsidRDefault="002E3B31">
            <w:pPr>
              <w:keepNext/>
              <w:keepLines/>
              <w:spacing w:before="40" w:after="40"/>
            </w:pPr>
          </w:p>
        </w:tc>
        <w:tc>
          <w:tcPr>
            <w:tcW w:w="1403" w:type="dxa"/>
            <w:gridSpan w:val="2"/>
            <w:tcMar>
              <w:left w:w="0" w:type="dxa"/>
              <w:right w:w="0" w:type="dxa"/>
            </w:tcMar>
            <w:vAlign w:val="bottom"/>
          </w:tcPr>
          <w:p w:rsidR="002E3B31" w:rsidRDefault="007C6E2D">
            <w:pPr>
              <w:keepNext/>
              <w:keepLines/>
              <w:spacing w:before="40" w:after="40"/>
              <w:jc w:val="right"/>
            </w:pPr>
            <w:r>
              <w:rPr>
                <w:color w:val="000000"/>
              </w:rPr>
              <w:t>2.5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3.1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gridSpan w:val="2"/>
            <w:tcMar>
              <w:left w:w="0" w:type="dxa"/>
              <w:right w:w="0" w:type="dxa"/>
            </w:tcMar>
            <w:vAlign w:val="bottom"/>
          </w:tcPr>
          <w:p w:rsidR="002E3B31" w:rsidRDefault="007C6E2D">
            <w:pPr>
              <w:keepNext/>
              <w:keepLines/>
              <w:spacing w:before="40" w:after="40"/>
              <w:jc w:val="right"/>
            </w:pPr>
            <w:r>
              <w:rPr>
                <w:color w:val="000000"/>
              </w:rPr>
              <w:t>3.1</w:t>
            </w:r>
          </w:p>
        </w:tc>
        <w:tc>
          <w:tcPr>
            <w:tcW w:w="77" w:type="dxa"/>
            <w:tcMar>
              <w:left w:w="0" w:type="dxa"/>
              <w:right w:w="0" w:type="dxa"/>
            </w:tcMar>
          </w:tcPr>
          <w:p w:rsidR="002E3B31" w:rsidRDefault="002E3B31"/>
        </w:tc>
      </w:tr>
      <w:tr w:rsidR="002E3B31">
        <w:trPr>
          <w:trHeight w:hRule="exact" w:val="560"/>
          <w:jc w:val="center"/>
        </w:trPr>
        <w:tc>
          <w:tcPr>
            <w:tcW w:w="5200" w:type="dxa"/>
            <w:tcMar>
              <w:left w:w="60" w:type="dxa"/>
              <w:right w:w="40" w:type="dxa"/>
            </w:tcMar>
            <w:vAlign w:val="bottom"/>
          </w:tcPr>
          <w:p w:rsidR="002E3B31" w:rsidRDefault="007C6E2D">
            <w:pPr>
              <w:keepLines/>
              <w:spacing w:before="40" w:after="40"/>
            </w:pPr>
            <w:r>
              <w:t>Cash Available for Distribution Attributable to the</w:t>
            </w:r>
            <w:r>
              <w:br/>
              <w:t xml:space="preserve">   Partnership</w:t>
            </w:r>
          </w:p>
        </w:tc>
        <w:tc>
          <w:tcPr>
            <w:tcW w:w="80" w:type="dxa"/>
            <w:tcMar>
              <w:left w:w="60" w:type="dxa"/>
              <w:right w:w="0" w:type="dxa"/>
            </w:tcMar>
            <w:vAlign w:val="bottom"/>
          </w:tcPr>
          <w:p w:rsidR="002E3B31" w:rsidRDefault="002E3B31">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Lines/>
              <w:spacing w:before="40" w:after="40"/>
            </w:pPr>
            <w:r>
              <w:rPr>
                <w:color w:val="000000"/>
              </w:rPr>
              <w:t>$</w:t>
            </w:r>
          </w:p>
        </w:tc>
        <w:tc>
          <w:tcPr>
            <w:tcW w:w="1293" w:type="dxa"/>
            <w:tcBorders>
              <w:top w:val="single" w:sz="8" w:space="0" w:color="auto"/>
              <w:bottom w:val="double" w:sz="4" w:space="0" w:color="auto"/>
            </w:tcBorders>
            <w:tcMar>
              <w:left w:w="0" w:type="dxa"/>
              <w:right w:w="0" w:type="dxa"/>
            </w:tcMar>
            <w:vAlign w:val="bottom"/>
          </w:tcPr>
          <w:p w:rsidR="002E3B31" w:rsidRDefault="007C6E2D">
            <w:pPr>
              <w:keepLines/>
              <w:spacing w:before="40" w:after="40"/>
              <w:jc w:val="right"/>
            </w:pPr>
            <w:r>
              <w:rPr>
                <w:color w:val="000000"/>
              </w:rPr>
              <w:t>97.0</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2E3B31" w:rsidRDefault="007C6E2D">
            <w:pPr>
              <w:keepLines/>
              <w:spacing w:before="40" w:after="40"/>
              <w:jc w:val="right"/>
            </w:pPr>
            <w:r>
              <w:rPr>
                <w:color w:val="000000"/>
              </w:rPr>
              <w:t>83.9</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Borders>
              <w:top w:val="single" w:sz="8" w:space="0" w:color="auto"/>
              <w:bottom w:val="double" w:sz="4" w:space="0" w:color="auto"/>
            </w:tcBorders>
            <w:tcMar>
              <w:left w:w="0" w:type="dxa"/>
              <w:right w:w="60" w:type="dxa"/>
            </w:tcMar>
            <w:vAlign w:val="bottom"/>
          </w:tcPr>
          <w:p w:rsidR="002E3B31" w:rsidRDefault="002E3B31">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E3B31" w:rsidRDefault="007C6E2D">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2E3B31" w:rsidRDefault="007C6E2D">
            <w:pPr>
              <w:keepLines/>
              <w:spacing w:before="40" w:after="40"/>
              <w:jc w:val="right"/>
            </w:pPr>
            <w:r>
              <w:rPr>
                <w:color w:val="000000"/>
              </w:rPr>
              <w:t>83.9</w:t>
            </w:r>
          </w:p>
        </w:tc>
        <w:tc>
          <w:tcPr>
            <w:tcW w:w="77" w:type="dxa"/>
            <w:tcBorders>
              <w:top w:val="single" w:sz="8" w:space="0" w:color="auto"/>
              <w:bottom w:val="double" w:sz="4" w:space="0" w:color="auto"/>
            </w:tcBorders>
            <w:tcMar>
              <w:left w:w="0" w:type="dxa"/>
              <w:right w:w="0" w:type="dxa"/>
            </w:tcMar>
          </w:tcPr>
          <w:p w:rsidR="002E3B31" w:rsidRDefault="002E3B31"/>
        </w:tc>
      </w:tr>
    </w:tbl>
    <w:p w:rsidR="002E3B31" w:rsidRDefault="007C6E2D">
      <w:pPr>
        <w:spacing w:before="60" w:line="288" w:lineRule="auto"/>
        <w:rPr>
          <w:vertAlign w:val="superscript"/>
        </w:rPr>
      </w:pPr>
      <w:r>
        <w:rPr>
          <w:vertAlign w:val="superscript"/>
        </w:rPr>
        <w:t>(1)</w:t>
      </w:r>
      <w:r>
        <w:rPr>
          <w:i/>
        </w:rPr>
        <w:t xml:space="preserve"> Prior quarter financial information has been retrospectively adjusted for the acquisition completed in December 2017.</w:t>
      </w:r>
    </w:p>
    <w:p w:rsidR="002E3B31" w:rsidRDefault="007C6E2D">
      <w:pPr>
        <w:spacing w:line="288" w:lineRule="auto"/>
        <w:rPr>
          <w:vertAlign w:val="superscript"/>
        </w:rPr>
      </w:pPr>
      <w:r>
        <w:rPr>
          <w:vertAlign w:val="superscript"/>
        </w:rPr>
        <w:t>(2)</w:t>
      </w:r>
      <w:r>
        <w:rPr>
          <w:i/>
        </w:rPr>
        <w:t xml:space="preserve"> As previously reported in our Quarterly Report on Form 10-Q for the period ended September 30, 2017.</w:t>
      </w:r>
    </w:p>
    <w:p w:rsidR="002E3B31" w:rsidRDefault="002E3B31">
      <w:pPr>
        <w:spacing w:line="288" w:lineRule="auto"/>
      </w:pPr>
    </w:p>
    <w:p w:rsidR="002E3B31" w:rsidRDefault="007C6E2D">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r>
        <w:rPr>
          <w:i/>
        </w:rPr>
        <w:t>See "Non-GAAP Financial Measures" later in this press release.</w:t>
      </w:r>
    </w:p>
    <w:tbl>
      <w:tblPr>
        <w:tblW w:w="10120" w:type="dxa"/>
        <w:jc w:val="center"/>
        <w:tblLayout w:type="fixed"/>
        <w:tblCellMar>
          <w:left w:w="10" w:type="dxa"/>
          <w:right w:w="10" w:type="dxa"/>
        </w:tblCellMar>
        <w:tblLook w:val="04A0" w:firstRow="1" w:lastRow="0" w:firstColumn="1" w:lastColumn="0" w:noHBand="0" w:noVBand="1"/>
      </w:tblPr>
      <w:tblGrid>
        <w:gridCol w:w="5040"/>
        <w:gridCol w:w="80"/>
        <w:gridCol w:w="1"/>
        <w:gridCol w:w="1"/>
        <w:gridCol w:w="108"/>
        <w:gridCol w:w="1273"/>
        <w:gridCol w:w="77"/>
        <w:gridCol w:w="80"/>
        <w:gridCol w:w="1"/>
        <w:gridCol w:w="1"/>
        <w:gridCol w:w="108"/>
        <w:gridCol w:w="1473"/>
        <w:gridCol w:w="77"/>
        <w:gridCol w:w="80"/>
        <w:gridCol w:w="1"/>
        <w:gridCol w:w="1"/>
        <w:gridCol w:w="108"/>
        <w:gridCol w:w="1533"/>
        <w:gridCol w:w="77"/>
      </w:tblGrid>
      <w:tr w:rsidR="004546ED" w:rsidTr="004546ED">
        <w:trPr>
          <w:trHeight w:hRule="exact" w:val="600"/>
          <w:jc w:val="center"/>
        </w:trPr>
        <w:tc>
          <w:tcPr>
            <w:tcW w:w="10120" w:type="dxa"/>
            <w:gridSpan w:val="19"/>
            <w:tcMar>
              <w:left w:w="60" w:type="dxa"/>
              <w:right w:w="40" w:type="dxa"/>
            </w:tcMar>
            <w:vAlign w:val="bottom"/>
          </w:tcPr>
          <w:p w:rsidR="002E3B31" w:rsidRDefault="007C6E2D">
            <w:pPr>
              <w:keepNext/>
              <w:keepLines/>
              <w:spacing w:before="40" w:after="40"/>
              <w:rPr>
                <w:b/>
                <w:sz w:val="22"/>
              </w:rPr>
            </w:pPr>
            <w:r>
              <w:rPr>
                <w:b/>
                <w:sz w:val="22"/>
              </w:rPr>
              <w:t>Reconciliation of Adjusted EBITDA and Cash Available for Distribution to Net Cash Provided by Operating Activities</w:t>
            </w:r>
          </w:p>
        </w:tc>
      </w:tr>
      <w:tr w:rsidR="004546ED" w:rsidTr="004546ED">
        <w:trPr>
          <w:trHeight w:hRule="exact" w:val="300"/>
          <w:jc w:val="center"/>
        </w:trPr>
        <w:tc>
          <w:tcPr>
            <w:tcW w:w="5040" w:type="dxa"/>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17"/>
            <w:tcMar>
              <w:left w:w="60" w:type="dxa"/>
              <w:right w:w="60" w:type="dxa"/>
            </w:tcMar>
            <w:vAlign w:val="bottom"/>
          </w:tcPr>
          <w:p w:rsidR="002E3B31" w:rsidRDefault="007C6E2D">
            <w:pPr>
              <w:keepNext/>
              <w:keepLines/>
              <w:spacing w:before="40" w:after="40"/>
              <w:jc w:val="center"/>
              <w:rPr>
                <w:b/>
                <w:sz w:val="16"/>
              </w:rPr>
            </w:pPr>
            <w:r>
              <w:rPr>
                <w:b/>
                <w:sz w:val="16"/>
              </w:rPr>
              <w:t>For the Three Months Ended</w:t>
            </w:r>
          </w:p>
        </w:tc>
      </w:tr>
      <w:tr w:rsidR="004546ED" w:rsidTr="004546ED">
        <w:trPr>
          <w:trHeight w:hRule="exact" w:val="420"/>
          <w:jc w:val="center"/>
        </w:trPr>
        <w:tc>
          <w:tcPr>
            <w:tcW w:w="5040" w:type="dxa"/>
            <w:tcMar>
              <w:left w:w="60" w:type="dxa"/>
              <w:right w:w="40" w:type="dxa"/>
            </w:tcMar>
            <w:vAlign w:val="bottom"/>
          </w:tcPr>
          <w:p w:rsidR="002E3B31" w:rsidRDefault="007C6E2D">
            <w:pPr>
              <w:keepNext/>
              <w:keepLines/>
              <w:spacing w:before="40" w:after="40"/>
              <w:rPr>
                <w:b/>
                <w:sz w:val="16"/>
              </w:rPr>
            </w:pPr>
            <w:r>
              <w:rPr>
                <w:b/>
                <w:sz w:val="16"/>
              </w:rPr>
              <w:t>(in millions of dollars)</w:t>
            </w:r>
          </w:p>
        </w:tc>
        <w:tc>
          <w:tcPr>
            <w:tcW w:w="80" w:type="dxa"/>
            <w:tcMar>
              <w:left w:w="60" w:type="dxa"/>
              <w:right w:w="0" w:type="dxa"/>
            </w:tcMar>
            <w:vAlign w:val="bottom"/>
          </w:tcPr>
          <w:p w:rsidR="002E3B31" w:rsidRDefault="002E3B31">
            <w:pPr>
              <w:keepNext/>
              <w:keepLines/>
              <w:spacing w:before="40" w:after="40"/>
            </w:pPr>
          </w:p>
        </w:tc>
        <w:tc>
          <w:tcPr>
            <w:tcW w:w="0" w:type="dxa"/>
            <w:gridSpan w:val="5"/>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80" w:type="dxa"/>
            <w:tcBorders>
              <w:top w:val="single" w:sz="8" w:space="0" w:color="auto"/>
            </w:tcBorders>
            <w:tcMar>
              <w:left w:w="60" w:type="dxa"/>
              <w:right w:w="0" w:type="dxa"/>
            </w:tcMar>
            <w:vAlign w:val="bottom"/>
          </w:tcPr>
          <w:p w:rsidR="002E3B31" w:rsidRDefault="002E3B31">
            <w:pPr>
              <w:keepNext/>
              <w:keepLines/>
              <w:spacing w:before="40" w:after="40"/>
            </w:pPr>
          </w:p>
        </w:tc>
        <w:tc>
          <w:tcPr>
            <w:tcW w:w="0" w:type="dxa"/>
            <w:gridSpan w:val="5"/>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September 30, 2017</w:t>
            </w:r>
            <w:r>
              <w:rPr>
                <w:b/>
                <w:sz w:val="16"/>
                <w:vertAlign w:val="superscript"/>
              </w:rPr>
              <w:t xml:space="preserve"> (1)</w:t>
            </w:r>
          </w:p>
        </w:tc>
        <w:tc>
          <w:tcPr>
            <w:tcW w:w="80" w:type="dxa"/>
            <w:tcBorders>
              <w:top w:val="single" w:sz="8" w:space="0" w:color="auto"/>
              <w:bottom w:val="single" w:sz="8" w:space="0" w:color="auto"/>
            </w:tcBorders>
            <w:tcMar>
              <w:left w:w="0" w:type="dxa"/>
              <w:right w:w="0" w:type="dxa"/>
            </w:tcMar>
            <w:vAlign w:val="bottom"/>
          </w:tcPr>
          <w:p w:rsidR="002E3B31" w:rsidRDefault="002E3B31">
            <w:pPr>
              <w:keepNext/>
              <w:keepLines/>
              <w:spacing w:before="40" w:after="40"/>
            </w:pPr>
          </w:p>
        </w:tc>
        <w:tc>
          <w:tcPr>
            <w:tcW w:w="0" w:type="dxa"/>
            <w:gridSpan w:val="5"/>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 xml:space="preserve">September 30, 2017 </w:t>
            </w:r>
            <w:r>
              <w:rPr>
                <w:b/>
                <w:sz w:val="16"/>
                <w:vertAlign w:val="superscript"/>
              </w:rPr>
              <w:t>(2)</w:t>
            </w:r>
          </w:p>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Net cash provided by operating activities</w:t>
            </w:r>
          </w:p>
        </w:tc>
        <w:tc>
          <w:tcPr>
            <w:tcW w:w="80" w:type="dxa"/>
            <w:tcMar>
              <w:left w:w="60" w:type="dxa"/>
              <w:right w:w="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273" w:type="dxa"/>
            <w:tcMar>
              <w:left w:w="0" w:type="dxa"/>
              <w:right w:w="0" w:type="dxa"/>
            </w:tcMar>
            <w:vAlign w:val="bottom"/>
          </w:tcPr>
          <w:p w:rsidR="002E3B31" w:rsidRDefault="007C6E2D">
            <w:pPr>
              <w:keepNext/>
              <w:keepLines/>
              <w:spacing w:before="40" w:after="40"/>
              <w:jc w:val="right"/>
            </w:pPr>
            <w:r>
              <w:rPr>
                <w:color w:val="000000"/>
              </w:rPr>
              <w:t>87.2</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47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124.2</w:t>
            </w:r>
          </w:p>
        </w:tc>
        <w:tc>
          <w:tcPr>
            <w:tcW w:w="77" w:type="dxa"/>
            <w:tcBorders>
              <w:top w:val="single" w:sz="8" w:space="0" w:color="auto"/>
            </w:tcBorders>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533" w:type="dxa"/>
            <w:tcMar>
              <w:left w:w="0" w:type="dxa"/>
              <w:right w:w="0" w:type="dxa"/>
            </w:tcMar>
            <w:vAlign w:val="bottom"/>
          </w:tcPr>
          <w:p w:rsidR="002E3B31" w:rsidRDefault="007C6E2D">
            <w:pPr>
              <w:keepNext/>
              <w:keepLines/>
              <w:spacing w:before="40" w:after="40"/>
              <w:jc w:val="right"/>
            </w:pPr>
            <w:r>
              <w:rPr>
                <w:color w:val="000000"/>
              </w:rPr>
              <w:t>100.7</w:t>
            </w:r>
          </w:p>
        </w:tc>
        <w:tc>
          <w:tcPr>
            <w:tcW w:w="77" w:type="dxa"/>
            <w:tcMar>
              <w:left w:w="0" w:type="dxa"/>
              <w:right w:w="0" w:type="dxa"/>
            </w:tcMar>
          </w:tcPr>
          <w:p w:rsidR="002E3B31" w:rsidRDefault="002E3B31"/>
        </w:tc>
      </w:tr>
      <w:tr w:rsidR="004546ED" w:rsidTr="004546ED">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Add:</w:t>
            </w:r>
          </w:p>
        </w:tc>
        <w:tc>
          <w:tcPr>
            <w:tcW w:w="80" w:type="dxa"/>
            <w:tcMar>
              <w:left w:w="60" w:type="dxa"/>
              <w:right w:w="0" w:type="dxa"/>
            </w:tcMar>
            <w:vAlign w:val="bottom"/>
          </w:tcPr>
          <w:p w:rsidR="002E3B31" w:rsidRDefault="002E3B31">
            <w:pPr>
              <w:keepNext/>
              <w:keepLines/>
              <w:spacing w:before="40" w:after="40"/>
            </w:pPr>
          </w:p>
        </w:tc>
        <w:tc>
          <w:tcPr>
            <w:tcW w:w="0" w:type="dxa"/>
            <w:gridSpan w:val="5"/>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5"/>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gridSpan w:val="5"/>
            <w:tcMar>
              <w:left w:w="60" w:type="dxa"/>
              <w:right w:w="0" w:type="dxa"/>
            </w:tcMar>
            <w:vAlign w:val="bottom"/>
          </w:tcPr>
          <w:p w:rsidR="002E3B31" w:rsidRDefault="002E3B31">
            <w:pPr>
              <w:keepNext/>
              <w:keepLines/>
              <w:spacing w:before="40" w:after="40"/>
            </w:pPr>
          </w:p>
        </w:tc>
      </w:tr>
      <w:tr w:rsidR="004546ED" w:rsidTr="004546ED">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Interest expense, net</w:t>
            </w:r>
          </w:p>
        </w:tc>
        <w:tc>
          <w:tcPr>
            <w:tcW w:w="80" w:type="dxa"/>
            <w:tcMar>
              <w:left w:w="60" w:type="dxa"/>
              <w:right w:w="0" w:type="dxa"/>
            </w:tcMar>
            <w:vAlign w:val="bottom"/>
          </w:tcPr>
          <w:p w:rsidR="002E3B31" w:rsidRDefault="002E3B31">
            <w:pPr>
              <w:keepNext/>
              <w:keepLines/>
              <w:spacing w:before="40" w:after="40"/>
            </w:pPr>
          </w:p>
        </w:tc>
        <w:tc>
          <w:tcPr>
            <w:tcW w:w="1383" w:type="dxa"/>
            <w:gridSpan w:val="4"/>
            <w:tcMar>
              <w:left w:w="0" w:type="dxa"/>
              <w:right w:w="0" w:type="dxa"/>
            </w:tcMar>
            <w:vAlign w:val="bottom"/>
          </w:tcPr>
          <w:p w:rsidR="002E3B31" w:rsidRDefault="007C6E2D">
            <w:pPr>
              <w:keepNext/>
              <w:keepLines/>
              <w:spacing w:before="40" w:after="40"/>
              <w:jc w:val="right"/>
            </w:pPr>
            <w:r>
              <w:rPr>
                <w:color w:val="000000"/>
              </w:rPr>
              <w:t>10.2</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gridSpan w:val="4"/>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gridSpan w:val="4"/>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r>
      <w:tr w:rsidR="004546ED" w:rsidTr="004546ED">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Income tax expense</w:t>
            </w:r>
          </w:p>
        </w:tc>
        <w:tc>
          <w:tcPr>
            <w:tcW w:w="80" w:type="dxa"/>
            <w:tcMar>
              <w:left w:w="60" w:type="dxa"/>
              <w:right w:w="0" w:type="dxa"/>
            </w:tcMar>
            <w:vAlign w:val="bottom"/>
          </w:tcPr>
          <w:p w:rsidR="002E3B31" w:rsidRDefault="002E3B31">
            <w:pPr>
              <w:keepNext/>
              <w:keepLines/>
              <w:spacing w:before="40" w:after="40"/>
            </w:pPr>
          </w:p>
        </w:tc>
        <w:tc>
          <w:tcPr>
            <w:tcW w:w="1383" w:type="dxa"/>
            <w:gridSpan w:val="4"/>
            <w:tcMar>
              <w:left w:w="0" w:type="dxa"/>
              <w:right w:w="0" w:type="dxa"/>
            </w:tcMar>
            <w:vAlign w:val="bottom"/>
          </w:tcPr>
          <w:p w:rsidR="002E3B31" w:rsidRDefault="007C6E2D">
            <w:pPr>
              <w:keepNext/>
              <w:keepLines/>
              <w:spacing w:before="40" w:after="40"/>
              <w:jc w:val="right"/>
            </w:pPr>
            <w:r>
              <w:rPr>
                <w:color w:val="000000"/>
              </w:rPr>
              <w:t>0.1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gridSpan w:val="4"/>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gridSpan w:val="4"/>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4546ED" w:rsidTr="004546ED">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Return of investment</w:t>
            </w:r>
          </w:p>
        </w:tc>
        <w:tc>
          <w:tcPr>
            <w:tcW w:w="80" w:type="dxa"/>
            <w:tcMar>
              <w:left w:w="60" w:type="dxa"/>
              <w:right w:w="0" w:type="dxa"/>
            </w:tcMar>
            <w:vAlign w:val="bottom"/>
          </w:tcPr>
          <w:p w:rsidR="002E3B31" w:rsidRDefault="002E3B31">
            <w:pPr>
              <w:keepNext/>
              <w:keepLines/>
              <w:spacing w:before="40" w:after="40"/>
            </w:pPr>
          </w:p>
        </w:tc>
        <w:tc>
          <w:tcPr>
            <w:tcW w:w="1383" w:type="dxa"/>
            <w:gridSpan w:val="4"/>
            <w:tcMar>
              <w:left w:w="0" w:type="dxa"/>
              <w:right w:w="0" w:type="dxa"/>
            </w:tcMar>
            <w:vAlign w:val="bottom"/>
          </w:tcPr>
          <w:p w:rsidR="002E3B31" w:rsidRDefault="007C6E2D">
            <w:pPr>
              <w:keepNext/>
              <w:keepLines/>
              <w:spacing w:before="40" w:after="40"/>
              <w:jc w:val="right"/>
            </w:pPr>
            <w:r>
              <w:rPr>
                <w:color w:val="000000"/>
              </w:rPr>
              <w:t>5.0</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gridSpan w:val="4"/>
            <w:tcMar>
              <w:left w:w="0" w:type="dxa"/>
              <w:right w:w="0" w:type="dxa"/>
            </w:tcMar>
            <w:vAlign w:val="bottom"/>
          </w:tcPr>
          <w:p w:rsidR="002E3B31" w:rsidRDefault="007C6E2D">
            <w:pPr>
              <w:keepNext/>
              <w:keepLines/>
              <w:spacing w:before="40" w:after="40"/>
              <w:jc w:val="right"/>
            </w:pPr>
            <w:r>
              <w:rPr>
                <w:color w:val="000000"/>
              </w:rPr>
              <w:t>2.7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gridSpan w:val="4"/>
            <w:tcMar>
              <w:left w:w="0" w:type="dxa"/>
              <w:right w:w="0" w:type="dxa"/>
            </w:tcMar>
            <w:vAlign w:val="bottom"/>
          </w:tcPr>
          <w:p w:rsidR="002E3B31" w:rsidRDefault="007C6E2D">
            <w:pPr>
              <w:keepNext/>
              <w:keepLines/>
              <w:spacing w:before="40" w:after="40"/>
              <w:jc w:val="right"/>
            </w:pPr>
            <w:r>
              <w:rPr>
                <w:color w:val="000000"/>
              </w:rPr>
              <w:t>3.9</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Less:</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Change in deferred revenue and other unearned revenue</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(8.0</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(8.0</w:t>
            </w:r>
          </w:p>
        </w:tc>
        <w:tc>
          <w:tcPr>
            <w:tcW w:w="77" w:type="dxa"/>
            <w:tcMar>
              <w:left w:w="0" w:type="dxa"/>
              <w:right w:w="0" w:type="dxa"/>
            </w:tcMar>
            <w:vAlign w:val="bottom"/>
          </w:tcPr>
          <w:p w:rsidR="002E3B31" w:rsidRDefault="007C6E2D">
            <w:pPr>
              <w:keepNext/>
              <w:keepLines/>
              <w:spacing w:before="40" w:after="40"/>
            </w:pPr>
            <w:r>
              <w:rPr>
                <w:color w:val="000000"/>
              </w:rPr>
              <w:t>)</w:t>
            </w:r>
          </w:p>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3.6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3.6</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3.6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3.6</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Non-cash interest expense</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0.1</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0.1</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0.2</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0.2</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0.2</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0.2</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Change in other assets and liabilities</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(20.2</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(20.2</w:t>
            </w:r>
          </w:p>
        </w:tc>
        <w:tc>
          <w:tcPr>
            <w:tcW w:w="77" w:type="dxa"/>
            <w:tcBorders>
              <w:bottom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80" w:type="dxa"/>
            <w:tcMar>
              <w:left w:w="60" w:type="dxa"/>
              <w:right w:w="0" w:type="dxa"/>
            </w:tcMar>
            <w:vAlign w:val="bottom"/>
          </w:tcPr>
          <w:p w:rsidR="002E3B31" w:rsidRDefault="002E3B31">
            <w:pPr>
              <w:keepNext/>
              <w:keepLines/>
              <w:spacing w:before="40" w:after="40"/>
            </w:pPr>
          </w:p>
        </w:tc>
        <w:tc>
          <w:tcPr>
            <w:tcW w:w="158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13.6</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13.6</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4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16.1</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16.1</w:t>
            </w:r>
          </w:p>
        </w:tc>
        <w:tc>
          <w:tcPr>
            <w:tcW w:w="77" w:type="dxa"/>
            <w:tcBorders>
              <w:bottom w:val="single" w:sz="8" w:space="0" w:color="auto"/>
            </w:tcBorders>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t>Adjusted EBITDA</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130.6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130.6</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119.2</w:t>
            </w:r>
          </w:p>
        </w:tc>
        <w:tc>
          <w:tcPr>
            <w:tcW w:w="0" w:type="auto"/>
            <w:gridSpan w:val="3"/>
            <w:hMerge/>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119.2</w:t>
            </w:r>
          </w:p>
        </w:tc>
        <w:tc>
          <w:tcPr>
            <w:tcW w:w="77" w:type="dxa"/>
            <w:tcBorders>
              <w:top w:val="single" w:sz="8" w:space="0" w:color="auto"/>
            </w:tcBorders>
            <w:tcMar>
              <w:left w:w="0" w:type="dxa"/>
              <w:right w:w="0" w:type="dxa"/>
            </w:tcMar>
          </w:tcPr>
          <w:p w:rsidR="002E3B31" w:rsidRDefault="002E3B31"/>
        </w:tc>
        <w:tc>
          <w:tcPr>
            <w:tcW w:w="80" w:type="dxa"/>
            <w:tcBorders>
              <w:top w:val="single" w:sz="8" w:space="0" w:color="auto"/>
            </w:tcBorders>
            <w:tcMar>
              <w:left w:w="0" w:type="dxa"/>
              <w:right w:w="60" w:type="dxa"/>
            </w:tcMar>
            <w:vAlign w:val="bottom"/>
          </w:tcPr>
          <w:p w:rsidR="002E3B31" w:rsidRDefault="002E3B31">
            <w:pPr>
              <w:keepNext/>
              <w:keepLines/>
              <w:spacing w:before="40" w:after="40"/>
            </w:pPr>
          </w:p>
        </w:tc>
        <w:tc>
          <w:tcPr>
            <w:tcW w:w="1643" w:type="dxa"/>
            <w:hMerge w:val="restart"/>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94.4</w:t>
            </w:r>
          </w:p>
        </w:tc>
        <w:tc>
          <w:tcPr>
            <w:tcW w:w="0" w:type="auto"/>
            <w:gridSpan w:val="3"/>
            <w:hMerge/>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94.4</w:t>
            </w:r>
          </w:p>
        </w:tc>
        <w:tc>
          <w:tcPr>
            <w:tcW w:w="77" w:type="dxa"/>
            <w:tcBorders>
              <w:top w:val="single" w:sz="8" w:space="0" w:color="auto"/>
            </w:tcBorders>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Less:</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Adjusted EBITDA attributable to Parent</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6.6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6.6</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21.8</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21.8</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Adjusted EBITDA attributable to noncontrolling interests</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5.3</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5.3</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5.2</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5.2</w:t>
            </w:r>
          </w:p>
        </w:tc>
        <w:tc>
          <w:tcPr>
            <w:tcW w:w="77" w:type="dxa"/>
            <w:tcBorders>
              <w:bottom w:val="single" w:sz="8" w:space="0" w:color="auto"/>
            </w:tcBorders>
            <w:tcMar>
              <w:left w:w="0" w:type="dxa"/>
              <w:right w:w="0" w:type="dxa"/>
            </w:tcMar>
          </w:tcPr>
          <w:p w:rsidR="002E3B31" w:rsidRDefault="002E3B31"/>
        </w:tc>
        <w:tc>
          <w:tcPr>
            <w:tcW w:w="80" w:type="dxa"/>
            <w:tcBorders>
              <w:bottom w:val="single" w:sz="8" w:space="0" w:color="auto"/>
            </w:tcBorders>
            <w:tcMar>
              <w:left w:w="0" w:type="dxa"/>
              <w:right w:w="60" w:type="dxa"/>
            </w:tcMar>
            <w:vAlign w:val="bottom"/>
          </w:tcPr>
          <w:p w:rsidR="002E3B31" w:rsidRDefault="002E3B31">
            <w:pPr>
              <w:keepNext/>
              <w:keepLines/>
              <w:spacing w:before="40" w:after="40"/>
            </w:pPr>
          </w:p>
        </w:tc>
        <w:tc>
          <w:tcPr>
            <w:tcW w:w="164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2.2</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2.2</w:t>
            </w:r>
          </w:p>
        </w:tc>
        <w:tc>
          <w:tcPr>
            <w:tcW w:w="77" w:type="dxa"/>
            <w:tcBorders>
              <w:bottom w:val="single" w:sz="8" w:space="0" w:color="auto"/>
            </w:tcBorders>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t>Adjusted EBITDA attributable to the Partnership</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118.7</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118.7</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92.2</w:t>
            </w:r>
          </w:p>
        </w:tc>
        <w:tc>
          <w:tcPr>
            <w:tcW w:w="0" w:type="auto"/>
            <w:gridSpan w:val="3"/>
            <w:hMerge/>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92.2</w:t>
            </w:r>
          </w:p>
        </w:tc>
        <w:tc>
          <w:tcPr>
            <w:tcW w:w="77" w:type="dxa"/>
            <w:tcBorders>
              <w:top w:val="single" w:sz="8" w:space="0" w:color="auto"/>
            </w:tcBorders>
            <w:tcMar>
              <w:left w:w="0" w:type="dxa"/>
              <w:right w:w="0" w:type="dxa"/>
            </w:tcMar>
          </w:tcPr>
          <w:p w:rsidR="002E3B31" w:rsidRDefault="002E3B31"/>
        </w:tc>
        <w:tc>
          <w:tcPr>
            <w:tcW w:w="80" w:type="dxa"/>
            <w:tcBorders>
              <w:top w:val="single" w:sz="8" w:space="0" w:color="auto"/>
            </w:tcBorders>
            <w:tcMar>
              <w:left w:w="0" w:type="dxa"/>
              <w:right w:w="60" w:type="dxa"/>
            </w:tcMar>
            <w:vAlign w:val="bottom"/>
          </w:tcPr>
          <w:p w:rsidR="002E3B31" w:rsidRDefault="002E3B31">
            <w:pPr>
              <w:keepNext/>
              <w:keepLines/>
              <w:spacing w:before="40" w:after="40"/>
            </w:pPr>
          </w:p>
        </w:tc>
        <w:tc>
          <w:tcPr>
            <w:tcW w:w="1643" w:type="dxa"/>
            <w:hMerge w:val="restart"/>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92.2</w:t>
            </w:r>
          </w:p>
        </w:tc>
        <w:tc>
          <w:tcPr>
            <w:tcW w:w="0" w:type="auto"/>
            <w:gridSpan w:val="3"/>
            <w:hMerge/>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92.2</w:t>
            </w:r>
          </w:p>
        </w:tc>
        <w:tc>
          <w:tcPr>
            <w:tcW w:w="77" w:type="dxa"/>
            <w:tcBorders>
              <w:top w:val="single" w:sz="8" w:space="0" w:color="auto"/>
            </w:tcBorders>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Less:</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Net interest paid attributable to the Partnership</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10.3</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10.3</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9.7</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9.7</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9.7</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Maintenance capex attributable to the Partnership</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6.6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6.6</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6.1</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6.1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6.1</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6.1</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Add:</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520"/>
          <w:jc w:val="center"/>
        </w:trPr>
        <w:tc>
          <w:tcPr>
            <w:tcW w:w="5040" w:type="dxa"/>
            <w:tcMar>
              <w:left w:w="60" w:type="dxa"/>
              <w:right w:w="40" w:type="dxa"/>
            </w:tcMar>
            <w:vAlign w:val="bottom"/>
          </w:tcPr>
          <w:p w:rsidR="002E3B31" w:rsidRDefault="007C6E2D">
            <w:pPr>
              <w:keepNext/>
              <w:keepLines/>
              <w:spacing w:before="40" w:after="40"/>
            </w:pPr>
            <w:r>
              <w:rPr>
                <w:color w:val="000000"/>
              </w:rPr>
              <w:t>Net adjustments from volume deficiency payments</w:t>
            </w:r>
            <w:r>
              <w:rPr>
                <w:color w:val="000000"/>
              </w:rPr>
              <w:br/>
              <w:t xml:space="preserve">   attributable to the Partnership</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(7.3</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(7.3</w:t>
            </w:r>
          </w:p>
        </w:tc>
        <w:tc>
          <w:tcPr>
            <w:tcW w:w="77" w:type="dxa"/>
            <w:tcMar>
              <w:left w:w="0" w:type="dxa"/>
              <w:right w:w="0" w:type="dxa"/>
            </w:tcMar>
            <w:vAlign w:val="bottom"/>
          </w:tcPr>
          <w:p w:rsidR="002E3B31" w:rsidRDefault="007C6E2D">
            <w:pPr>
              <w:keepNext/>
              <w:keepLines/>
              <w:spacing w:before="40" w:after="40"/>
            </w:pPr>
            <w:r>
              <w:rPr>
                <w:color w:val="000000"/>
              </w:rPr>
              <w:t>)</w:t>
            </w:r>
          </w:p>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4.4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4.4</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4.4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4.4</w:t>
            </w:r>
          </w:p>
        </w:tc>
        <w:tc>
          <w:tcPr>
            <w:tcW w:w="77" w:type="dxa"/>
            <w:tcMar>
              <w:left w:w="0" w:type="dxa"/>
              <w:right w:w="0" w:type="dxa"/>
            </w:tcMar>
          </w:tcPr>
          <w:p w:rsidR="002E3B31" w:rsidRDefault="002E3B31"/>
        </w:tc>
      </w:tr>
      <w:tr w:rsidR="002E3B31">
        <w:trPr>
          <w:trHeight w:hRule="exact" w:val="300"/>
          <w:jc w:val="center"/>
        </w:trPr>
        <w:tc>
          <w:tcPr>
            <w:tcW w:w="5040" w:type="dxa"/>
            <w:tcMar>
              <w:left w:w="60" w:type="dxa"/>
              <w:right w:w="40" w:type="dxa"/>
            </w:tcMar>
            <w:vAlign w:val="bottom"/>
          </w:tcPr>
          <w:p w:rsidR="002E3B31" w:rsidRDefault="007C6E2D">
            <w:pPr>
              <w:keepNext/>
              <w:keepLines/>
              <w:spacing w:before="40" w:after="40"/>
            </w:pPr>
            <w:r>
              <w:rPr>
                <w:color w:val="000000"/>
              </w:rPr>
              <w:t>Reimbursements from Parent included in partners' capital</w:t>
            </w:r>
          </w:p>
        </w:tc>
        <w:tc>
          <w:tcPr>
            <w:tcW w:w="80" w:type="dxa"/>
            <w:tcMar>
              <w:left w:w="60" w:type="dxa"/>
              <w:right w:w="0" w:type="dxa"/>
            </w:tcMar>
            <w:vAlign w:val="bottom"/>
          </w:tcPr>
          <w:p w:rsidR="002E3B31" w:rsidRDefault="002E3B31">
            <w:pPr>
              <w:keepNext/>
              <w:keepLines/>
              <w:spacing w:before="40" w:after="40"/>
            </w:pPr>
          </w:p>
        </w:tc>
        <w:tc>
          <w:tcPr>
            <w:tcW w:w="1383" w:type="dxa"/>
            <w:hMerge w:val="restart"/>
            <w:tcMar>
              <w:left w:w="0" w:type="dxa"/>
              <w:right w:w="0" w:type="dxa"/>
            </w:tcMar>
            <w:vAlign w:val="bottom"/>
          </w:tcPr>
          <w:p w:rsidR="002E3B31" w:rsidRDefault="007C6E2D">
            <w:pPr>
              <w:keepNext/>
              <w:keepLines/>
              <w:spacing w:before="40" w:after="40"/>
              <w:jc w:val="right"/>
            </w:pPr>
            <w:r>
              <w:rPr>
                <w:color w:val="000000"/>
              </w:rPr>
              <w:t>2.5</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2.5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3.1</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3.1</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43" w:type="dxa"/>
            <w:hMerge w:val="restart"/>
            <w:tcMar>
              <w:left w:w="0" w:type="dxa"/>
              <w:right w:w="0" w:type="dxa"/>
            </w:tcMar>
            <w:vAlign w:val="bottom"/>
          </w:tcPr>
          <w:p w:rsidR="002E3B31" w:rsidRDefault="007C6E2D">
            <w:pPr>
              <w:keepNext/>
              <w:keepLines/>
              <w:spacing w:before="40" w:after="40"/>
              <w:jc w:val="right"/>
            </w:pPr>
            <w:r>
              <w:rPr>
                <w:color w:val="000000"/>
              </w:rPr>
              <w:t>3.1</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3.1</w:t>
            </w:r>
          </w:p>
        </w:tc>
        <w:tc>
          <w:tcPr>
            <w:tcW w:w="77" w:type="dxa"/>
            <w:tcMar>
              <w:left w:w="0" w:type="dxa"/>
              <w:right w:w="0" w:type="dxa"/>
            </w:tcMar>
          </w:tcPr>
          <w:p w:rsidR="002E3B31" w:rsidRDefault="002E3B31"/>
        </w:tc>
      </w:tr>
      <w:tr w:rsidR="002E3B31">
        <w:trPr>
          <w:trHeight w:hRule="exact" w:val="520"/>
          <w:jc w:val="center"/>
        </w:trPr>
        <w:tc>
          <w:tcPr>
            <w:tcW w:w="5040" w:type="dxa"/>
            <w:tcMar>
              <w:left w:w="60" w:type="dxa"/>
              <w:right w:w="40" w:type="dxa"/>
            </w:tcMar>
            <w:vAlign w:val="bottom"/>
          </w:tcPr>
          <w:p w:rsidR="002E3B31" w:rsidRDefault="007C6E2D">
            <w:pPr>
              <w:keepLines/>
              <w:spacing w:before="40" w:after="40"/>
            </w:pPr>
            <w:r>
              <w:t>Cash Available for Distribution Attributable to the</w:t>
            </w:r>
            <w:r>
              <w:br/>
              <w:t xml:space="preserve">   Partnership</w:t>
            </w:r>
          </w:p>
        </w:tc>
        <w:tc>
          <w:tcPr>
            <w:tcW w:w="80" w:type="dxa"/>
            <w:tcMar>
              <w:left w:w="60" w:type="dxa"/>
              <w:right w:w="0" w:type="dxa"/>
            </w:tcMar>
            <w:vAlign w:val="bottom"/>
          </w:tcPr>
          <w:p w:rsidR="002E3B31" w:rsidRDefault="002E3B31">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2E3B31" w:rsidRDefault="007C6E2D">
            <w:pPr>
              <w:keepLines/>
              <w:spacing w:before="40" w:after="40"/>
            </w:pPr>
            <w:r>
              <w:rPr>
                <w:color w:val="000000"/>
              </w:rPr>
              <w:t>$</w:t>
            </w:r>
          </w:p>
        </w:tc>
        <w:tc>
          <w:tcPr>
            <w:tcW w:w="1273" w:type="dxa"/>
            <w:tcBorders>
              <w:top w:val="single" w:sz="8" w:space="0" w:color="auto"/>
              <w:bottom w:val="double" w:sz="4" w:space="0" w:color="auto"/>
            </w:tcBorders>
            <w:tcMar>
              <w:left w:w="0" w:type="dxa"/>
              <w:right w:w="0" w:type="dxa"/>
            </w:tcMar>
            <w:vAlign w:val="bottom"/>
          </w:tcPr>
          <w:p w:rsidR="002E3B31" w:rsidRDefault="007C6E2D">
            <w:pPr>
              <w:keepLines/>
              <w:spacing w:before="40" w:after="40"/>
              <w:jc w:val="right"/>
            </w:pPr>
            <w:r>
              <w:rPr>
                <w:color w:val="000000"/>
              </w:rPr>
              <w:t>97.0</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2E3B31" w:rsidRDefault="007C6E2D">
            <w:pPr>
              <w:keepLines/>
              <w:spacing w:before="40" w:after="40"/>
            </w:pPr>
            <w:r>
              <w:rPr>
                <w:color w:val="000000"/>
              </w:rPr>
              <w:t>$</w:t>
            </w:r>
          </w:p>
        </w:tc>
        <w:tc>
          <w:tcPr>
            <w:tcW w:w="1473" w:type="dxa"/>
            <w:tcBorders>
              <w:top w:val="single" w:sz="8" w:space="0" w:color="auto"/>
              <w:bottom w:val="double" w:sz="4" w:space="0" w:color="auto"/>
            </w:tcBorders>
            <w:tcMar>
              <w:left w:w="0" w:type="dxa"/>
              <w:right w:w="0" w:type="dxa"/>
            </w:tcMar>
            <w:vAlign w:val="bottom"/>
          </w:tcPr>
          <w:p w:rsidR="002E3B31" w:rsidRDefault="007C6E2D">
            <w:pPr>
              <w:keepLines/>
              <w:spacing w:before="40" w:after="40"/>
              <w:jc w:val="right"/>
            </w:pPr>
            <w:r>
              <w:rPr>
                <w:color w:val="000000"/>
              </w:rPr>
              <w:t>83.9</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Borders>
              <w:top w:val="single" w:sz="8" w:space="0" w:color="auto"/>
              <w:bottom w:val="double" w:sz="4" w:space="0" w:color="auto"/>
            </w:tcBorders>
            <w:tcMar>
              <w:left w:w="0" w:type="dxa"/>
              <w:right w:w="60" w:type="dxa"/>
            </w:tcMar>
            <w:vAlign w:val="bottom"/>
          </w:tcPr>
          <w:p w:rsidR="002E3B31" w:rsidRDefault="002E3B31">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2E3B31" w:rsidRDefault="007C6E2D">
            <w:pPr>
              <w:keepLines/>
              <w:spacing w:before="40" w:after="40"/>
            </w:pPr>
            <w:r>
              <w:rPr>
                <w:color w:val="000000"/>
              </w:rPr>
              <w:t>$</w:t>
            </w:r>
          </w:p>
        </w:tc>
        <w:tc>
          <w:tcPr>
            <w:tcW w:w="1533" w:type="dxa"/>
            <w:tcBorders>
              <w:top w:val="single" w:sz="8" w:space="0" w:color="auto"/>
              <w:bottom w:val="double" w:sz="4" w:space="0" w:color="auto"/>
            </w:tcBorders>
            <w:tcMar>
              <w:left w:w="0" w:type="dxa"/>
              <w:right w:w="0" w:type="dxa"/>
            </w:tcMar>
            <w:vAlign w:val="bottom"/>
          </w:tcPr>
          <w:p w:rsidR="002E3B31" w:rsidRDefault="007C6E2D">
            <w:pPr>
              <w:keepLines/>
              <w:spacing w:before="40" w:after="40"/>
              <w:jc w:val="right"/>
            </w:pPr>
            <w:r>
              <w:rPr>
                <w:color w:val="000000"/>
              </w:rPr>
              <w:t>83.9</w:t>
            </w:r>
          </w:p>
        </w:tc>
        <w:tc>
          <w:tcPr>
            <w:tcW w:w="77" w:type="dxa"/>
            <w:tcBorders>
              <w:top w:val="single" w:sz="8" w:space="0" w:color="auto"/>
              <w:bottom w:val="double" w:sz="4" w:space="0" w:color="auto"/>
            </w:tcBorders>
            <w:tcMar>
              <w:left w:w="0" w:type="dxa"/>
              <w:right w:w="0" w:type="dxa"/>
            </w:tcMar>
          </w:tcPr>
          <w:p w:rsidR="002E3B31" w:rsidRDefault="002E3B31"/>
        </w:tc>
      </w:tr>
    </w:tbl>
    <w:p w:rsidR="002E3B31" w:rsidRDefault="007C6E2D">
      <w:pPr>
        <w:spacing w:before="60" w:line="288" w:lineRule="auto"/>
        <w:rPr>
          <w:vertAlign w:val="superscript"/>
        </w:rPr>
      </w:pPr>
      <w:r>
        <w:rPr>
          <w:vertAlign w:val="superscript"/>
        </w:rPr>
        <w:t>(1)</w:t>
      </w:r>
      <w:r>
        <w:rPr>
          <w:i/>
        </w:rPr>
        <w:t xml:space="preserve"> Prior quarter financial information has been retrospectively adjusted for the acquisition completed in December 2017.</w:t>
      </w:r>
    </w:p>
    <w:p w:rsidR="002E3B31" w:rsidRDefault="007C6E2D">
      <w:pPr>
        <w:spacing w:line="288" w:lineRule="auto"/>
        <w:rPr>
          <w:vertAlign w:val="superscript"/>
        </w:rPr>
      </w:pPr>
      <w:r>
        <w:rPr>
          <w:vertAlign w:val="superscript"/>
        </w:rPr>
        <w:t>(2)</w:t>
      </w:r>
      <w:r>
        <w:rPr>
          <w:i/>
        </w:rPr>
        <w:t xml:space="preserve"> As previously reported in our Quarterly Report on Form 10-Q for the period ended September 30, 2017.</w:t>
      </w:r>
    </w:p>
    <w:p w:rsidR="002E3B31" w:rsidRDefault="002E3B31">
      <w:pPr>
        <w:spacing w:line="288" w:lineRule="auto"/>
      </w:pPr>
    </w:p>
    <w:p w:rsidR="002E3B31" w:rsidRDefault="002E3B31">
      <w:pPr>
        <w:spacing w:line="288" w:lineRule="auto"/>
      </w:pPr>
    </w:p>
    <w:p w:rsidR="002E3B31" w:rsidRDefault="007C6E2D">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r>
        <w:rPr>
          <w:i/>
        </w:rPr>
        <w:t>See "Non-GAAP Financial Measures" later in this press release.</w:t>
      </w:r>
    </w:p>
    <w:p w:rsidR="002E3B31" w:rsidRDefault="002E3B31">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p>
    <w:p w:rsidR="002E3B31" w:rsidRDefault="002E3B31">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p>
    <w:tbl>
      <w:tblPr>
        <w:tblW w:w="10160" w:type="dxa"/>
        <w:jc w:val="center"/>
        <w:tblLayout w:type="fixed"/>
        <w:tblCellMar>
          <w:left w:w="10" w:type="dxa"/>
          <w:right w:w="10" w:type="dxa"/>
        </w:tblCellMar>
        <w:tblLook w:val="04A0" w:firstRow="1" w:lastRow="0" w:firstColumn="1" w:lastColumn="0" w:noHBand="0" w:noVBand="1"/>
      </w:tblPr>
      <w:tblGrid>
        <w:gridCol w:w="1"/>
        <w:gridCol w:w="1"/>
        <w:gridCol w:w="1"/>
        <w:gridCol w:w="1"/>
        <w:gridCol w:w="1"/>
        <w:gridCol w:w="1"/>
        <w:gridCol w:w="1"/>
        <w:gridCol w:w="1"/>
        <w:gridCol w:w="6752"/>
        <w:gridCol w:w="80"/>
        <w:gridCol w:w="1"/>
        <w:gridCol w:w="1"/>
        <w:gridCol w:w="1"/>
        <w:gridCol w:w="1"/>
        <w:gridCol w:w="1"/>
        <w:gridCol w:w="1"/>
        <w:gridCol w:w="104"/>
        <w:gridCol w:w="1253"/>
        <w:gridCol w:w="77"/>
        <w:gridCol w:w="80"/>
        <w:gridCol w:w="1"/>
        <w:gridCol w:w="1"/>
        <w:gridCol w:w="108"/>
        <w:gridCol w:w="1613"/>
        <w:gridCol w:w="77"/>
      </w:tblGrid>
      <w:tr w:rsidR="002E3B31">
        <w:trPr>
          <w:trHeight w:hRule="exact" w:val="300"/>
          <w:jc w:val="center"/>
        </w:trPr>
        <w:tc>
          <w:tcPr>
            <w:tcW w:w="10160" w:type="dxa"/>
            <w:hMerge w:val="restart"/>
            <w:tcMar>
              <w:left w:w="60" w:type="dxa"/>
              <w:right w:w="40" w:type="dxa"/>
            </w:tcMar>
            <w:vAlign w:val="bottom"/>
          </w:tcPr>
          <w:p w:rsidR="002E3B31" w:rsidRDefault="007C6E2D">
            <w:pPr>
              <w:keepNext/>
              <w:keepLines/>
              <w:spacing w:before="40" w:after="40"/>
              <w:rPr>
                <w:b/>
                <w:sz w:val="22"/>
              </w:rPr>
            </w:pPr>
            <w:r>
              <w:rPr>
                <w:b/>
                <w:sz w:val="22"/>
              </w:rPr>
              <w:t>Distribution Information</w:t>
            </w:r>
          </w:p>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hMerge/>
            <w:tcMar>
              <w:left w:w="0" w:type="dxa"/>
              <w:right w:w="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17"/>
            <w:hMerge/>
            <w:tcMar>
              <w:left w:w="0" w:type="dxa"/>
              <w:right w:w="0" w:type="dxa"/>
            </w:tcMar>
          </w:tcPr>
          <w:p w:rsidR="002E3B31" w:rsidRDefault="002E3B31"/>
        </w:tc>
      </w:tr>
      <w:tr w:rsidR="002E3B31">
        <w:trPr>
          <w:trHeight w:hRule="exact" w:val="300"/>
          <w:jc w:val="center"/>
        </w:trPr>
        <w:tc>
          <w:tcPr>
            <w:tcW w:w="6760" w:type="dxa"/>
            <w:gridSpan w:val="9"/>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rPr>
                <w:b/>
                <w:sz w:val="16"/>
              </w:rPr>
            </w:pPr>
            <w:r>
              <w:rPr>
                <w:b/>
                <w:sz w:val="16"/>
              </w:rPr>
              <w:t>(in millions of dollars, except per-unit and ratio data)</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60" w:type="dxa"/>
            </w:tcMar>
            <w:vAlign w:val="bottom"/>
          </w:tcPr>
          <w:p w:rsidR="002E3B31" w:rsidRDefault="007C6E2D">
            <w:pPr>
              <w:keepNext/>
              <w:keepLines/>
              <w:spacing w:before="40" w:after="40"/>
              <w:jc w:val="center"/>
              <w:rPr>
                <w:b/>
                <w:sz w:val="16"/>
              </w:rPr>
            </w:pPr>
            <w:r>
              <w:rPr>
                <w:b/>
                <w:sz w:val="16"/>
              </w:rPr>
              <w:t>For the Three Months Ended</w:t>
            </w:r>
          </w:p>
        </w:tc>
        <w:tc>
          <w:tcPr>
            <w:tcW w:w="0" w:type="auto"/>
            <w:hMerge/>
            <w:tcMar>
              <w:left w:w="60" w:type="dxa"/>
              <w:right w:w="60" w:type="dxa"/>
            </w:tcMar>
          </w:tcPr>
          <w:p w:rsidR="002E3B31" w:rsidRDefault="007C6E2D">
            <w:pPr>
              <w:keepNext/>
              <w:keepLines/>
              <w:spacing w:before="40" w:after="40"/>
              <w:jc w:val="center"/>
              <w:rPr>
                <w:b/>
                <w:sz w:val="16"/>
              </w:rPr>
            </w:pPr>
            <w:r>
              <w:rPr>
                <w:b/>
                <w:sz w:val="16"/>
              </w:rPr>
              <w:t>For the Three Months Ended</w:t>
            </w:r>
          </w:p>
        </w:tc>
        <w:tc>
          <w:tcPr>
            <w:tcW w:w="0" w:type="auto"/>
            <w:hMerge/>
            <w:tcMar>
              <w:left w:w="0" w:type="dxa"/>
              <w:right w:w="6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9"/>
            <w:hMerge/>
            <w:tcMar>
              <w:left w:w="0" w:type="dxa"/>
              <w:right w:w="0" w:type="dxa"/>
            </w:tcMar>
          </w:tcPr>
          <w:p w:rsidR="002E3B31" w:rsidRDefault="002E3B31"/>
        </w:tc>
      </w:tr>
      <w:tr w:rsidR="002E3B31">
        <w:trPr>
          <w:trHeight w:hRule="exact" w:val="420"/>
          <w:jc w:val="center"/>
        </w:trPr>
        <w:tc>
          <w:tcPr>
            <w:tcW w:w="6760" w:type="dxa"/>
            <w:gridSpan w:val="9"/>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color w:val="000000"/>
                <w:sz w:val="16"/>
              </w:rPr>
              <w:t>December 31, 2017</w:t>
            </w:r>
          </w:p>
        </w:tc>
        <w:tc>
          <w:tcPr>
            <w:tcW w:w="0" w:type="auto"/>
            <w:gridSpan w:val="7"/>
            <w:hMerge/>
            <w:tcBorders>
              <w:top w:val="single" w:sz="8" w:space="0" w:color="auto"/>
              <w:bottom w:val="single" w:sz="8" w:space="0" w:color="auto"/>
            </w:tcBorders>
            <w:tcMar>
              <w:left w:w="0" w:type="dxa"/>
              <w:right w:w="60" w:type="dxa"/>
            </w:tcMar>
          </w:tcPr>
          <w:p w:rsidR="002E3B31" w:rsidRDefault="002E3B31"/>
        </w:tc>
        <w:tc>
          <w:tcPr>
            <w:tcW w:w="80" w:type="dxa"/>
            <w:tcBorders>
              <w:top w:val="single" w:sz="8" w:space="0" w:color="auto"/>
            </w:tcBorders>
            <w:tcMar>
              <w:left w:w="6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 xml:space="preserve">September 30, 2017 </w:t>
            </w:r>
            <w:r>
              <w:rPr>
                <w:b/>
                <w:sz w:val="16"/>
                <w:vertAlign w:val="superscript"/>
              </w:rPr>
              <w:t>(1)</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sz w:val="16"/>
              </w:rPr>
              <w:t xml:space="preserve">September 30, 2017 </w:t>
            </w:r>
            <w:r>
              <w:rPr>
                <w:b/>
                <w:sz w:val="16"/>
                <w:vertAlign w:val="superscript"/>
              </w:rPr>
              <w:t>(1)</w:t>
            </w:r>
          </w:p>
        </w:tc>
        <w:tc>
          <w:tcPr>
            <w:tcW w:w="0" w:type="auto"/>
            <w:gridSpan w:val="3"/>
            <w:hMerge/>
            <w:tcBorders>
              <w:top w:val="single" w:sz="8" w:space="0" w:color="auto"/>
              <w:bottom w:val="single" w:sz="8" w:space="0" w:color="auto"/>
            </w:tcBorders>
            <w:tcMar>
              <w:left w:w="0" w:type="dxa"/>
              <w:right w:w="6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rPr>
                <w:color w:val="000000"/>
              </w:rPr>
              <w:t>Quarterly distribution declared per unit</w:t>
            </w:r>
          </w:p>
        </w:tc>
        <w:tc>
          <w:tcPr>
            <w:tcW w:w="80" w:type="dxa"/>
            <w:tcMar>
              <w:left w:w="60" w:type="dxa"/>
              <w:right w:w="0" w:type="dxa"/>
            </w:tcMar>
            <w:vAlign w:val="bottom"/>
          </w:tcPr>
          <w:p w:rsidR="002E3B31" w:rsidRDefault="002E3B31">
            <w:pPr>
              <w:keepNext/>
              <w:keepLines/>
              <w:spacing w:before="40" w:after="40"/>
            </w:pPr>
          </w:p>
        </w:tc>
        <w:tc>
          <w:tcPr>
            <w:tcW w:w="110" w:type="dxa"/>
            <w:gridSpan w:val="7"/>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0.3330</w:t>
            </w:r>
          </w:p>
        </w:tc>
        <w:tc>
          <w:tcPr>
            <w:tcW w:w="77" w:type="dxa"/>
            <w:tcBorders>
              <w:top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613" w:type="dxa"/>
            <w:tcMar>
              <w:left w:w="0" w:type="dxa"/>
              <w:right w:w="0" w:type="dxa"/>
            </w:tcMar>
            <w:vAlign w:val="bottom"/>
          </w:tcPr>
          <w:p w:rsidR="002E3B31" w:rsidRDefault="007C6E2D">
            <w:pPr>
              <w:keepNext/>
              <w:keepLines/>
              <w:spacing w:before="40" w:after="40"/>
              <w:jc w:val="right"/>
            </w:pPr>
            <w:r>
              <w:rPr>
                <w:color w:val="000000"/>
              </w:rPr>
              <w:t>0.3180</w:t>
            </w:r>
          </w:p>
        </w:tc>
        <w:tc>
          <w:tcPr>
            <w:tcW w:w="77" w:type="dxa"/>
            <w:tcMar>
              <w:left w:w="0" w:type="dxa"/>
              <w:right w:w="0" w:type="dxa"/>
            </w:tcMar>
          </w:tcPr>
          <w:p w:rsidR="002E3B31" w:rsidRDefault="002E3B31"/>
        </w:tc>
      </w:tr>
      <w:tr w:rsidR="002E3B31">
        <w:trPr>
          <w:trHeight w:hRule="exact" w:val="300"/>
          <w:jc w:val="center"/>
        </w:trPr>
        <w:tc>
          <w:tcPr>
            <w:tcW w:w="6760" w:type="dxa"/>
            <w:gridSpan w:val="9"/>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t xml:space="preserve">Adjusted EBITDA attributable to the Partnership </w:t>
            </w:r>
            <w:r>
              <w:rPr>
                <w:vertAlign w:val="superscript"/>
              </w:rPr>
              <w:t>(2)</w:t>
            </w:r>
          </w:p>
        </w:tc>
        <w:tc>
          <w:tcPr>
            <w:tcW w:w="80" w:type="dxa"/>
            <w:tcMar>
              <w:left w:w="60" w:type="dxa"/>
              <w:right w:w="0" w:type="dxa"/>
            </w:tcMar>
            <w:vAlign w:val="bottom"/>
          </w:tcPr>
          <w:p w:rsidR="002E3B31" w:rsidRDefault="002E3B31">
            <w:pPr>
              <w:keepNext/>
              <w:keepLines/>
              <w:spacing w:before="40" w:after="40"/>
            </w:pPr>
          </w:p>
        </w:tc>
        <w:tc>
          <w:tcPr>
            <w:tcW w:w="110" w:type="dxa"/>
            <w:gridSpan w:val="7"/>
            <w:tcMar>
              <w:left w:w="0" w:type="dxa"/>
              <w:right w:w="0" w:type="dxa"/>
            </w:tcMar>
            <w:vAlign w:val="bottom"/>
          </w:tcPr>
          <w:p w:rsidR="002E3B31" w:rsidRDefault="007C6E2D">
            <w:pPr>
              <w:keepNext/>
              <w:keepLines/>
              <w:spacing w:before="40" w:after="40"/>
            </w:pPr>
            <w:r>
              <w:rPr>
                <w:color w:val="000000"/>
              </w:rPr>
              <w:t>$</w:t>
            </w:r>
          </w:p>
        </w:tc>
        <w:tc>
          <w:tcPr>
            <w:tcW w:w="1253" w:type="dxa"/>
            <w:tcMar>
              <w:left w:w="0" w:type="dxa"/>
              <w:right w:w="0" w:type="dxa"/>
            </w:tcMar>
            <w:vAlign w:val="bottom"/>
          </w:tcPr>
          <w:p w:rsidR="002E3B31" w:rsidRDefault="007C6E2D">
            <w:pPr>
              <w:keepNext/>
              <w:keepLines/>
              <w:spacing w:before="40" w:after="40"/>
              <w:jc w:val="right"/>
            </w:pPr>
            <w:r>
              <w:rPr>
                <w:color w:val="000000"/>
              </w:rPr>
              <w:t>118.7</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613" w:type="dxa"/>
            <w:tcMar>
              <w:left w:w="0" w:type="dxa"/>
              <w:right w:w="0" w:type="dxa"/>
            </w:tcMar>
            <w:vAlign w:val="bottom"/>
          </w:tcPr>
          <w:p w:rsidR="002E3B31" w:rsidRDefault="007C6E2D">
            <w:pPr>
              <w:keepNext/>
              <w:keepLines/>
              <w:spacing w:before="40" w:after="40"/>
              <w:jc w:val="right"/>
            </w:pPr>
            <w:r>
              <w:rPr>
                <w:color w:val="000000"/>
              </w:rPr>
              <w:t>92.2</w:t>
            </w:r>
          </w:p>
        </w:tc>
        <w:tc>
          <w:tcPr>
            <w:tcW w:w="77" w:type="dxa"/>
            <w:tcMar>
              <w:left w:w="0" w:type="dxa"/>
              <w:right w:w="0" w:type="dxa"/>
            </w:tcMar>
          </w:tcPr>
          <w:p w:rsidR="002E3B31" w:rsidRDefault="002E3B31"/>
        </w:tc>
      </w:tr>
      <w:tr w:rsidR="002E3B31">
        <w:trPr>
          <w:trHeight w:hRule="exact" w:val="300"/>
          <w:jc w:val="center"/>
        </w:trPr>
        <w:tc>
          <w:tcPr>
            <w:tcW w:w="6760" w:type="dxa"/>
            <w:gridSpan w:val="9"/>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0" w:type="dxa"/>
              <w:right w:w="60" w:type="dxa"/>
            </w:tcMar>
            <w:vAlign w:val="bottom"/>
          </w:tcPr>
          <w:p w:rsidR="002E3B31" w:rsidRDefault="002E3B31">
            <w:pPr>
              <w:keepNext/>
              <w:keepLines/>
              <w:spacing w:before="40" w:after="40"/>
            </w:pPr>
          </w:p>
        </w:tc>
        <w:tc>
          <w:tcPr>
            <w:tcW w:w="0" w:type="auto"/>
            <w:hMerge/>
            <w:tcMar>
              <w:left w:w="0" w:type="dxa"/>
              <w:right w:w="60" w:type="dxa"/>
            </w:tcMar>
          </w:tcPr>
          <w:p w:rsidR="002E3B31" w:rsidRDefault="002E3B31">
            <w:pPr>
              <w:keepNext/>
              <w:keepLines/>
              <w:spacing w:before="40" w:after="40"/>
            </w:pPr>
          </w:p>
        </w:tc>
        <w:tc>
          <w:tcPr>
            <w:tcW w:w="0" w:type="auto"/>
            <w:gridSpan w:val="7"/>
            <w:hMerge/>
            <w:tcMar>
              <w:left w:w="0" w:type="dxa"/>
              <w:right w:w="6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0" w:type="dxa"/>
              <w:right w:w="60" w:type="dxa"/>
            </w:tcMar>
            <w:vAlign w:val="bottom"/>
          </w:tcPr>
          <w:p w:rsidR="002E3B31" w:rsidRDefault="002E3B31">
            <w:pPr>
              <w:keepNext/>
              <w:keepLines/>
              <w:spacing w:before="40" w:after="40"/>
            </w:pPr>
          </w:p>
        </w:tc>
        <w:tc>
          <w:tcPr>
            <w:tcW w:w="0" w:type="auto"/>
            <w:hMerge/>
            <w:tcMar>
              <w:left w:w="0" w:type="dxa"/>
              <w:right w:w="60" w:type="dxa"/>
            </w:tcMar>
          </w:tcPr>
          <w:p w:rsidR="002E3B31" w:rsidRDefault="002E3B31">
            <w:pPr>
              <w:keepNext/>
              <w:keepLines/>
              <w:spacing w:before="40" w:after="40"/>
            </w:pPr>
          </w:p>
        </w:tc>
        <w:tc>
          <w:tcPr>
            <w:tcW w:w="0" w:type="auto"/>
            <w:gridSpan w:val="3"/>
            <w:hMerge/>
            <w:tcMar>
              <w:left w:w="0" w:type="dxa"/>
              <w:right w:w="6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t xml:space="preserve">Cash available for distribution attributable to the Partnership </w:t>
            </w:r>
            <w:r>
              <w:rPr>
                <w:vertAlign w:val="superscript"/>
              </w:rPr>
              <w:t>(2)</w:t>
            </w:r>
          </w:p>
        </w:tc>
        <w:tc>
          <w:tcPr>
            <w:tcW w:w="80" w:type="dxa"/>
            <w:tcMar>
              <w:left w:w="60" w:type="dxa"/>
              <w:right w:w="0" w:type="dxa"/>
            </w:tcMar>
            <w:vAlign w:val="bottom"/>
          </w:tcPr>
          <w:p w:rsidR="002E3B31" w:rsidRDefault="002E3B31">
            <w:pPr>
              <w:keepNext/>
              <w:keepLines/>
              <w:spacing w:before="40" w:after="40"/>
            </w:pPr>
          </w:p>
        </w:tc>
        <w:tc>
          <w:tcPr>
            <w:tcW w:w="110" w:type="dxa"/>
            <w:gridSpan w:val="7"/>
            <w:tcMar>
              <w:left w:w="0" w:type="dxa"/>
              <w:right w:w="0" w:type="dxa"/>
            </w:tcMar>
            <w:vAlign w:val="bottom"/>
          </w:tcPr>
          <w:p w:rsidR="002E3B31" w:rsidRDefault="007C6E2D">
            <w:pPr>
              <w:keepNext/>
              <w:keepLines/>
              <w:spacing w:before="40" w:after="40"/>
            </w:pPr>
            <w:r>
              <w:rPr>
                <w:color w:val="000000"/>
              </w:rPr>
              <w:t>$</w:t>
            </w:r>
          </w:p>
        </w:tc>
        <w:tc>
          <w:tcPr>
            <w:tcW w:w="1253" w:type="dxa"/>
            <w:tcMar>
              <w:left w:w="0" w:type="dxa"/>
              <w:right w:w="0" w:type="dxa"/>
            </w:tcMar>
            <w:vAlign w:val="bottom"/>
          </w:tcPr>
          <w:p w:rsidR="002E3B31" w:rsidRDefault="007C6E2D">
            <w:pPr>
              <w:keepNext/>
              <w:keepLines/>
              <w:spacing w:before="40" w:after="40"/>
              <w:jc w:val="right"/>
            </w:pPr>
            <w:r>
              <w:rPr>
                <w:color w:val="000000"/>
              </w:rPr>
              <w:t>97.0</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613" w:type="dxa"/>
            <w:tcMar>
              <w:left w:w="0" w:type="dxa"/>
              <w:right w:w="0" w:type="dxa"/>
            </w:tcMar>
            <w:vAlign w:val="bottom"/>
          </w:tcPr>
          <w:p w:rsidR="002E3B31" w:rsidRDefault="007C6E2D">
            <w:pPr>
              <w:keepNext/>
              <w:keepLines/>
              <w:spacing w:before="40" w:after="40"/>
              <w:jc w:val="right"/>
            </w:pPr>
            <w:r>
              <w:rPr>
                <w:color w:val="000000"/>
              </w:rPr>
              <w:t>83.9</w:t>
            </w:r>
          </w:p>
        </w:tc>
        <w:tc>
          <w:tcPr>
            <w:tcW w:w="77" w:type="dxa"/>
            <w:tcMar>
              <w:left w:w="0" w:type="dxa"/>
              <w:right w:w="0" w:type="dxa"/>
            </w:tcMar>
          </w:tcPr>
          <w:p w:rsidR="002E3B31" w:rsidRDefault="002E3B31"/>
        </w:tc>
      </w:tr>
      <w:tr w:rsidR="002E3B31">
        <w:trPr>
          <w:trHeight w:hRule="exact" w:val="300"/>
          <w:jc w:val="center"/>
        </w:trPr>
        <w:tc>
          <w:tcPr>
            <w:tcW w:w="6760" w:type="dxa"/>
            <w:gridSpan w:val="9"/>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rPr>
                <w:color w:val="000000"/>
              </w:rPr>
              <w:t>Distribution declared:</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rPr>
                <w:color w:val="000000"/>
              </w:rPr>
              <w:t>Limited Partner units – Common</w:t>
            </w:r>
          </w:p>
        </w:tc>
        <w:tc>
          <w:tcPr>
            <w:tcW w:w="80" w:type="dxa"/>
            <w:tcMar>
              <w:left w:w="60" w:type="dxa"/>
              <w:right w:w="0" w:type="dxa"/>
            </w:tcMar>
            <w:vAlign w:val="bottom"/>
          </w:tcPr>
          <w:p w:rsidR="002E3B31" w:rsidRDefault="002E3B31">
            <w:pPr>
              <w:keepNext/>
              <w:keepLines/>
              <w:spacing w:before="40" w:after="40"/>
            </w:pPr>
          </w:p>
        </w:tc>
        <w:tc>
          <w:tcPr>
            <w:tcW w:w="110" w:type="dxa"/>
            <w:gridSpan w:val="7"/>
            <w:tcMar>
              <w:left w:w="0" w:type="dxa"/>
              <w:right w:w="0" w:type="dxa"/>
            </w:tcMar>
            <w:vAlign w:val="bottom"/>
          </w:tcPr>
          <w:p w:rsidR="002E3B31" w:rsidRDefault="007C6E2D">
            <w:pPr>
              <w:keepNext/>
              <w:keepLines/>
              <w:spacing w:before="40" w:after="40"/>
            </w:pPr>
            <w:r>
              <w:rPr>
                <w:color w:val="000000"/>
              </w:rPr>
              <w:t>$</w:t>
            </w:r>
          </w:p>
        </w:tc>
        <w:tc>
          <w:tcPr>
            <w:tcW w:w="1253" w:type="dxa"/>
            <w:tcMar>
              <w:left w:w="0" w:type="dxa"/>
              <w:right w:w="0" w:type="dxa"/>
            </w:tcMar>
            <w:vAlign w:val="bottom"/>
          </w:tcPr>
          <w:p w:rsidR="002E3B31" w:rsidRDefault="007C6E2D">
            <w:pPr>
              <w:keepNext/>
              <w:keepLines/>
              <w:spacing w:before="40" w:after="40"/>
              <w:jc w:val="right"/>
            </w:pPr>
            <w:r>
              <w:rPr>
                <w:color w:val="000000"/>
              </w:rPr>
              <w:t>62.5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613" w:type="dxa"/>
            <w:tcMar>
              <w:left w:w="0" w:type="dxa"/>
              <w:right w:w="0" w:type="dxa"/>
            </w:tcMar>
            <w:vAlign w:val="bottom"/>
          </w:tcPr>
          <w:p w:rsidR="002E3B31" w:rsidRDefault="007C6E2D">
            <w:pPr>
              <w:keepNext/>
              <w:keepLines/>
              <w:spacing w:before="40" w:after="40"/>
              <w:jc w:val="right"/>
            </w:pPr>
            <w:r>
              <w:rPr>
                <w:color w:val="000000"/>
              </w:rPr>
              <w:t>59.7</w:t>
            </w:r>
          </w:p>
        </w:tc>
        <w:tc>
          <w:tcPr>
            <w:tcW w:w="77" w:type="dxa"/>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rPr>
                <w:color w:val="000000"/>
              </w:rPr>
              <w:t>General partner units</w:t>
            </w:r>
          </w:p>
        </w:tc>
        <w:tc>
          <w:tcPr>
            <w:tcW w:w="80" w:type="dxa"/>
            <w:tcMar>
              <w:left w:w="60" w:type="dxa"/>
              <w:right w:w="0" w:type="dxa"/>
            </w:tcMar>
            <w:vAlign w:val="bottom"/>
          </w:tcPr>
          <w:p w:rsidR="002E3B31" w:rsidRDefault="002E3B31">
            <w:pPr>
              <w:keepNext/>
              <w:keepLines/>
              <w:spacing w:before="40" w:after="40"/>
            </w:pPr>
          </w:p>
        </w:tc>
        <w:tc>
          <w:tcPr>
            <w:tcW w:w="136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20.6</w:t>
            </w:r>
          </w:p>
        </w:tc>
        <w:tc>
          <w:tcPr>
            <w:tcW w:w="0" w:type="auto"/>
            <w:gridSpan w:val="7"/>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20.6</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72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17.7</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17.7</w:t>
            </w:r>
          </w:p>
        </w:tc>
        <w:tc>
          <w:tcPr>
            <w:tcW w:w="77" w:type="dxa"/>
            <w:tcBorders>
              <w:bottom w:val="single" w:sz="8" w:space="0" w:color="auto"/>
            </w:tcBorders>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Next/>
              <w:keepLines/>
              <w:spacing w:before="40" w:after="40"/>
            </w:pPr>
            <w:r>
              <w:rPr>
                <w:color w:val="000000"/>
              </w:rPr>
              <w:t>Total distribution declared</w:t>
            </w:r>
          </w:p>
        </w:tc>
        <w:tc>
          <w:tcPr>
            <w:tcW w:w="80" w:type="dxa"/>
            <w:tcMar>
              <w:left w:w="60" w:type="dxa"/>
              <w:right w:w="0" w:type="dxa"/>
            </w:tcMar>
            <w:vAlign w:val="bottom"/>
          </w:tcPr>
          <w:p w:rsidR="002E3B31" w:rsidRDefault="002E3B31">
            <w:pPr>
              <w:keepNext/>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83.1</w:t>
            </w:r>
          </w:p>
        </w:tc>
        <w:tc>
          <w:tcPr>
            <w:tcW w:w="77" w:type="dxa"/>
            <w:tcBorders>
              <w:top w:val="single" w:sz="8" w:space="0" w:color="auto"/>
              <w:bottom w:val="double" w:sz="4"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2E3B31" w:rsidRDefault="007C6E2D">
            <w:pPr>
              <w:keepNext/>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2E3B31" w:rsidRDefault="007C6E2D">
            <w:pPr>
              <w:keepNext/>
              <w:keepLines/>
              <w:spacing w:before="40" w:after="40"/>
              <w:jc w:val="right"/>
            </w:pPr>
            <w:r>
              <w:rPr>
                <w:color w:val="000000"/>
              </w:rPr>
              <w:t>77.4</w:t>
            </w:r>
          </w:p>
        </w:tc>
        <w:tc>
          <w:tcPr>
            <w:tcW w:w="77" w:type="dxa"/>
            <w:tcBorders>
              <w:top w:val="single" w:sz="8" w:space="0" w:color="auto"/>
              <w:bottom w:val="double" w:sz="4" w:space="0" w:color="auto"/>
            </w:tcBorders>
            <w:tcMar>
              <w:left w:w="0" w:type="dxa"/>
              <w:right w:w="0" w:type="dxa"/>
            </w:tcMar>
          </w:tcPr>
          <w:p w:rsidR="002E3B31" w:rsidRDefault="002E3B31"/>
        </w:tc>
      </w:tr>
      <w:tr w:rsidR="002E3B31">
        <w:trPr>
          <w:trHeight w:hRule="exact" w:val="300"/>
          <w:jc w:val="center"/>
        </w:trPr>
        <w:tc>
          <w:tcPr>
            <w:tcW w:w="6760" w:type="dxa"/>
            <w:gridSpan w:val="9"/>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760" w:type="dxa"/>
            <w:gridSpan w:val="9"/>
            <w:tcMar>
              <w:left w:w="60" w:type="dxa"/>
              <w:right w:w="40" w:type="dxa"/>
            </w:tcMar>
            <w:vAlign w:val="bottom"/>
          </w:tcPr>
          <w:p w:rsidR="002E3B31" w:rsidRDefault="007C6E2D">
            <w:pPr>
              <w:keepLines/>
              <w:spacing w:before="40" w:after="40"/>
            </w:pPr>
            <w:r>
              <w:t xml:space="preserve">Coverage ratio </w:t>
            </w:r>
            <w:r>
              <w:rPr>
                <w:vertAlign w:val="superscript"/>
              </w:rPr>
              <w:t>(3)</w:t>
            </w:r>
          </w:p>
        </w:tc>
        <w:tc>
          <w:tcPr>
            <w:tcW w:w="80" w:type="dxa"/>
            <w:tcMar>
              <w:left w:w="60" w:type="dxa"/>
              <w:right w:w="0" w:type="dxa"/>
            </w:tcMar>
            <w:vAlign w:val="bottom"/>
          </w:tcPr>
          <w:p w:rsidR="002E3B31" w:rsidRDefault="002E3B31">
            <w:pPr>
              <w:keepLines/>
              <w:spacing w:before="40" w:after="40"/>
            </w:pPr>
          </w:p>
        </w:tc>
        <w:tc>
          <w:tcPr>
            <w:tcW w:w="1363" w:type="dxa"/>
            <w:hMerge w:val="restart"/>
            <w:tcMar>
              <w:left w:w="0" w:type="dxa"/>
              <w:right w:w="0" w:type="dxa"/>
            </w:tcMar>
            <w:vAlign w:val="bottom"/>
          </w:tcPr>
          <w:p w:rsidR="002E3B31" w:rsidRDefault="007C6E2D">
            <w:pPr>
              <w:keepLines/>
              <w:spacing w:before="40" w:after="40"/>
              <w:jc w:val="right"/>
            </w:pPr>
            <w:r>
              <w:rPr>
                <w:color w:val="000000"/>
              </w:rPr>
              <w:t>1.2</w:t>
            </w:r>
          </w:p>
        </w:tc>
        <w:tc>
          <w:tcPr>
            <w:tcW w:w="0" w:type="auto"/>
            <w:gridSpan w:val="7"/>
            <w:hMerge/>
            <w:tcMar>
              <w:left w:w="0" w:type="dxa"/>
              <w:right w:w="0" w:type="dxa"/>
            </w:tcMar>
            <w:vAlign w:val="bottom"/>
          </w:tcPr>
          <w:p w:rsidR="002E3B31" w:rsidRDefault="007C6E2D">
            <w:pPr>
              <w:keepLines/>
              <w:spacing w:before="40" w:after="40"/>
              <w:jc w:val="right"/>
            </w:pPr>
            <w:r>
              <w:rPr>
                <w:color w:val="000000"/>
              </w:rPr>
              <w:t>1.2</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Lines/>
              <w:spacing w:before="40" w:after="40"/>
            </w:pPr>
          </w:p>
        </w:tc>
        <w:tc>
          <w:tcPr>
            <w:tcW w:w="1723" w:type="dxa"/>
            <w:hMerge w:val="restart"/>
            <w:tcMar>
              <w:left w:w="0" w:type="dxa"/>
              <w:right w:w="0" w:type="dxa"/>
            </w:tcMar>
            <w:vAlign w:val="bottom"/>
          </w:tcPr>
          <w:p w:rsidR="002E3B31" w:rsidRDefault="007C6E2D">
            <w:pPr>
              <w:keepLines/>
              <w:spacing w:before="40" w:after="40"/>
              <w:jc w:val="right"/>
            </w:pPr>
            <w:r>
              <w:rPr>
                <w:color w:val="000000"/>
              </w:rPr>
              <w:t>1.1</w:t>
            </w:r>
          </w:p>
        </w:tc>
        <w:tc>
          <w:tcPr>
            <w:tcW w:w="0" w:type="auto"/>
            <w:gridSpan w:val="3"/>
            <w:hMerge/>
            <w:tcMar>
              <w:left w:w="0" w:type="dxa"/>
              <w:right w:w="0" w:type="dxa"/>
            </w:tcMar>
            <w:vAlign w:val="bottom"/>
          </w:tcPr>
          <w:p w:rsidR="002E3B31" w:rsidRDefault="007C6E2D">
            <w:pPr>
              <w:keepLines/>
              <w:spacing w:before="40" w:after="40"/>
              <w:jc w:val="right"/>
            </w:pPr>
            <w:r>
              <w:rPr>
                <w:color w:val="000000"/>
              </w:rPr>
              <w:t>1.1</w:t>
            </w:r>
          </w:p>
        </w:tc>
        <w:tc>
          <w:tcPr>
            <w:tcW w:w="77" w:type="dxa"/>
            <w:tcMar>
              <w:left w:w="0" w:type="dxa"/>
              <w:right w:w="0" w:type="dxa"/>
            </w:tcMar>
          </w:tcPr>
          <w:p w:rsidR="002E3B31" w:rsidRDefault="002E3B31"/>
        </w:tc>
      </w:tr>
    </w:tbl>
    <w:p w:rsidR="002E3B31" w:rsidRDefault="007C6E2D">
      <w:pPr>
        <w:spacing w:before="60" w:line="288" w:lineRule="auto"/>
        <w:rPr>
          <w:i/>
        </w:rPr>
      </w:pPr>
      <w:r>
        <w:rPr>
          <w:i/>
        </w:rPr>
        <w:t>(1) As previously reported in our Quarterly Report on Form 10-Q for the period ended September 30, 2017. This financial information is not affected by retrospective adjustments for the acquisition completed in December 2017.</w:t>
      </w:r>
    </w:p>
    <w:p w:rsidR="002E3B31" w:rsidRDefault="007C6E2D">
      <w:pPr>
        <w:spacing w:line="288" w:lineRule="auto"/>
        <w:rPr>
          <w:i/>
        </w:rPr>
      </w:pPr>
      <w:r>
        <w:rPr>
          <w:i/>
        </w:rPr>
        <w:t>(2) Non-GAAP measures. See reconciliation tables earlier in this press release.</w:t>
      </w:r>
    </w:p>
    <w:p w:rsidR="002E3B31" w:rsidRDefault="007C6E2D">
      <w:pPr>
        <w:spacing w:line="288" w:lineRule="auto"/>
        <w:rPr>
          <w:i/>
        </w:rPr>
      </w:pPr>
      <w:r>
        <w:rPr>
          <w:i/>
        </w:rPr>
        <w:t>(3) Coverage ratio is equal to Cash available for distribution attributable to the partnership divided by distribution declared.</w:t>
      </w:r>
    </w:p>
    <w:p w:rsidR="002E3B31" w:rsidRDefault="002E3B31">
      <w:pPr>
        <w:spacing w:line="288" w:lineRule="auto"/>
        <w:rPr>
          <w:i/>
        </w:rPr>
      </w:pPr>
    </w:p>
    <w:p w:rsidR="002E3B31" w:rsidRDefault="002E3B31">
      <w:pPr>
        <w:spacing w:after="140"/>
        <w:rPr>
          <w:i/>
        </w:rPr>
      </w:pPr>
    </w:p>
    <w:tbl>
      <w:tblPr>
        <w:tblW w:w="10240" w:type="dxa"/>
        <w:jc w:val="center"/>
        <w:tblLayout w:type="fixed"/>
        <w:tblCellMar>
          <w:left w:w="10" w:type="dxa"/>
          <w:right w:w="10" w:type="dxa"/>
        </w:tblCellMar>
        <w:tblLook w:val="04A0" w:firstRow="1" w:lastRow="0" w:firstColumn="1" w:lastColumn="0" w:noHBand="0" w:noVBand="1"/>
      </w:tblPr>
      <w:tblGrid>
        <w:gridCol w:w="1"/>
        <w:gridCol w:w="1"/>
        <w:gridCol w:w="1"/>
        <w:gridCol w:w="1"/>
        <w:gridCol w:w="1"/>
        <w:gridCol w:w="1"/>
        <w:gridCol w:w="1"/>
        <w:gridCol w:w="1"/>
        <w:gridCol w:w="1"/>
        <w:gridCol w:w="1"/>
        <w:gridCol w:w="1"/>
        <w:gridCol w:w="1"/>
        <w:gridCol w:w="5188"/>
        <w:gridCol w:w="80"/>
        <w:gridCol w:w="1"/>
        <w:gridCol w:w="1"/>
        <w:gridCol w:w="1"/>
        <w:gridCol w:w="1"/>
        <w:gridCol w:w="1"/>
        <w:gridCol w:w="1"/>
        <w:gridCol w:w="1"/>
        <w:gridCol w:w="1"/>
        <w:gridCol w:w="1"/>
        <w:gridCol w:w="1"/>
        <w:gridCol w:w="100"/>
        <w:gridCol w:w="1233"/>
        <w:gridCol w:w="77"/>
        <w:gridCol w:w="80"/>
        <w:gridCol w:w="1"/>
        <w:gridCol w:w="1"/>
        <w:gridCol w:w="108"/>
        <w:gridCol w:w="1573"/>
        <w:gridCol w:w="77"/>
        <w:gridCol w:w="80"/>
        <w:gridCol w:w="1"/>
        <w:gridCol w:w="1"/>
        <w:gridCol w:w="108"/>
        <w:gridCol w:w="1433"/>
        <w:gridCol w:w="77"/>
      </w:tblGrid>
      <w:tr w:rsidR="002E3B31">
        <w:trPr>
          <w:trHeight w:hRule="exact" w:val="300"/>
          <w:jc w:val="center"/>
        </w:trPr>
        <w:tc>
          <w:tcPr>
            <w:tcW w:w="10240" w:type="dxa"/>
            <w:hMerge w:val="restart"/>
            <w:tcMar>
              <w:left w:w="60" w:type="dxa"/>
              <w:right w:w="40" w:type="dxa"/>
            </w:tcMar>
            <w:vAlign w:val="bottom"/>
          </w:tcPr>
          <w:p w:rsidR="002E3B31" w:rsidRDefault="007C6E2D">
            <w:pPr>
              <w:keepNext/>
              <w:keepLines/>
              <w:spacing w:before="40" w:after="40"/>
              <w:rPr>
                <w:b/>
                <w:sz w:val="22"/>
              </w:rPr>
            </w:pPr>
            <w:r>
              <w:rPr>
                <w:b/>
                <w:sz w:val="22"/>
              </w:rPr>
              <w:t>Capital Expenditures</w:t>
            </w:r>
          </w:p>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hMerge/>
            <w:tcMar>
              <w:left w:w="0" w:type="dxa"/>
              <w:right w:w="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hMerge/>
            <w:tcMar>
              <w:left w:w="0" w:type="dxa"/>
              <w:right w:w="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27"/>
            <w:hMerge/>
            <w:tcMar>
              <w:left w:w="0" w:type="dxa"/>
              <w:right w:w="0" w:type="dxa"/>
            </w:tcMar>
          </w:tcPr>
          <w:p w:rsidR="002E3B31" w:rsidRDefault="002E3B31"/>
        </w:tc>
      </w:tr>
      <w:tr w:rsidR="002E3B31">
        <w:trPr>
          <w:trHeight w:hRule="exact" w:val="300"/>
          <w:jc w:val="center"/>
        </w:trPr>
        <w:tc>
          <w:tcPr>
            <w:tcW w:w="5200" w:type="dxa"/>
            <w:gridSpan w:val="13"/>
            <w:tcMar>
              <w:left w:w="60" w:type="dxa"/>
              <w:right w:w="40" w:type="dxa"/>
            </w:tcMar>
            <w:vAlign w:val="bottom"/>
          </w:tcPr>
          <w:p w:rsidR="002E3B31" w:rsidRDefault="007C6E2D">
            <w:pPr>
              <w:keepNext/>
              <w:keepLines/>
              <w:spacing w:before="40" w:after="40"/>
              <w:rPr>
                <w:b/>
                <w:sz w:val="16"/>
              </w:rPr>
            </w:pPr>
            <w:r>
              <w:rPr>
                <w:b/>
                <w:sz w:val="16"/>
              </w:rPr>
              <w:t>(in millions of dollars)</w:t>
            </w:r>
          </w:p>
        </w:tc>
        <w:tc>
          <w:tcPr>
            <w:tcW w:w="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60" w:type="dxa"/>
            </w:tcMar>
            <w:vAlign w:val="bottom"/>
          </w:tcPr>
          <w:p w:rsidR="002E3B31" w:rsidRDefault="007C6E2D">
            <w:pPr>
              <w:keepNext/>
              <w:keepLines/>
              <w:spacing w:before="40" w:after="40"/>
              <w:jc w:val="center"/>
              <w:rPr>
                <w:b/>
                <w:sz w:val="16"/>
              </w:rPr>
            </w:pPr>
            <w:r>
              <w:rPr>
                <w:b/>
                <w:sz w:val="16"/>
              </w:rPr>
              <w:t>For the Three Months Ended</w:t>
            </w:r>
          </w:p>
        </w:tc>
        <w:tc>
          <w:tcPr>
            <w:tcW w:w="0" w:type="auto"/>
            <w:hMerge/>
            <w:tcMar>
              <w:left w:w="60" w:type="dxa"/>
              <w:right w:w="60" w:type="dxa"/>
            </w:tcMar>
          </w:tcPr>
          <w:p w:rsidR="002E3B31" w:rsidRDefault="007C6E2D">
            <w:pPr>
              <w:keepNext/>
              <w:keepLines/>
              <w:spacing w:before="40" w:after="40"/>
              <w:jc w:val="center"/>
              <w:rPr>
                <w:b/>
                <w:sz w:val="16"/>
              </w:rPr>
            </w:pPr>
            <w:r>
              <w:rPr>
                <w:b/>
                <w:sz w:val="16"/>
              </w:rPr>
              <w:t>For the Three Months Ended</w:t>
            </w:r>
          </w:p>
        </w:tc>
        <w:tc>
          <w:tcPr>
            <w:tcW w:w="0" w:type="auto"/>
            <w:hMerge/>
            <w:tcMar>
              <w:left w:w="0" w:type="dxa"/>
              <w:right w:w="6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60" w:type="dxa"/>
            </w:tcMar>
            <w:vAlign w:val="bottom"/>
          </w:tcPr>
          <w:p w:rsidR="002E3B31" w:rsidRDefault="002E3B31">
            <w:pPr>
              <w:keepNext/>
              <w:keepLines/>
              <w:spacing w:before="40" w:after="40"/>
            </w:pPr>
          </w:p>
        </w:tc>
        <w:tc>
          <w:tcPr>
            <w:tcW w:w="0" w:type="auto"/>
            <w:hMerge/>
            <w:tcMar>
              <w:left w:w="60" w:type="dxa"/>
              <w:right w:w="60" w:type="dxa"/>
            </w:tcMar>
          </w:tcPr>
          <w:p w:rsidR="002E3B31" w:rsidRDefault="002E3B31">
            <w:pPr>
              <w:keepNext/>
              <w:keepLines/>
              <w:spacing w:before="40" w:after="40"/>
            </w:pPr>
          </w:p>
        </w:tc>
        <w:tc>
          <w:tcPr>
            <w:tcW w:w="0" w:type="auto"/>
            <w:hMerge/>
            <w:tcMar>
              <w:left w:w="0" w:type="dxa"/>
              <w:right w:w="60" w:type="dxa"/>
            </w:tcMar>
          </w:tcPr>
          <w:p w:rsidR="002E3B31" w:rsidRDefault="002E3B31"/>
        </w:tc>
        <w:tc>
          <w:tcPr>
            <w:tcW w:w="0" w:type="dxa"/>
            <w:hMerge/>
            <w:tcMar>
              <w:left w:w="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15"/>
            <w:hMerge/>
            <w:tcMar>
              <w:left w:w="0" w:type="dxa"/>
              <w:right w:w="0" w:type="dxa"/>
            </w:tcMar>
          </w:tcPr>
          <w:p w:rsidR="002E3B31" w:rsidRDefault="002E3B31"/>
        </w:tc>
      </w:tr>
      <w:tr w:rsidR="002E3B31">
        <w:trPr>
          <w:trHeight w:hRule="exact" w:val="400"/>
          <w:jc w:val="center"/>
        </w:trPr>
        <w:tc>
          <w:tcPr>
            <w:tcW w:w="5200" w:type="dxa"/>
            <w:gridSpan w:val="13"/>
            <w:tcMar>
              <w:left w:w="60" w:type="dxa"/>
              <w:right w:w="0" w:type="dxa"/>
            </w:tcMar>
            <w:vAlign w:val="bottom"/>
          </w:tcPr>
          <w:p w:rsidR="002E3B31" w:rsidRDefault="002E3B31">
            <w:pPr>
              <w:keepNext/>
              <w:keepLines/>
              <w:spacing w:before="40" w:after="40"/>
            </w:pPr>
          </w:p>
        </w:tc>
        <w:tc>
          <w:tcPr>
            <w:tcW w:w="80" w:type="dxa"/>
            <w:tcMar>
              <w:left w:w="6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color w:val="000000"/>
                <w:sz w:val="16"/>
              </w:rPr>
              <w:t>December 31, 2017</w:t>
            </w:r>
          </w:p>
        </w:tc>
        <w:tc>
          <w:tcPr>
            <w:tcW w:w="0" w:type="auto"/>
            <w:gridSpan w:val="11"/>
            <w:hMerge/>
            <w:tcBorders>
              <w:top w:val="single" w:sz="8" w:space="0" w:color="auto"/>
              <w:bottom w:val="single" w:sz="8" w:space="0" w:color="auto"/>
            </w:tcBorders>
            <w:tcMar>
              <w:left w:w="0" w:type="dxa"/>
              <w:right w:w="60" w:type="dxa"/>
            </w:tcMar>
          </w:tcPr>
          <w:p w:rsidR="002E3B31" w:rsidRDefault="002E3B31"/>
        </w:tc>
        <w:tc>
          <w:tcPr>
            <w:tcW w:w="80" w:type="dxa"/>
            <w:tcBorders>
              <w:top w:val="single" w:sz="8" w:space="0" w:color="auto"/>
            </w:tcBorders>
            <w:tcMar>
              <w:left w:w="6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September 30, 2017</w:t>
            </w:r>
            <w:r>
              <w:rPr>
                <w:b/>
                <w:sz w:val="16"/>
                <w:vertAlign w:val="superscript"/>
              </w:rPr>
              <w:t xml:space="preserve"> (1)</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sz w:val="16"/>
              </w:rPr>
              <w:t>September 30, 2017</w:t>
            </w:r>
            <w:r>
              <w:rPr>
                <w:b/>
                <w:sz w:val="16"/>
                <w:vertAlign w:val="superscript"/>
              </w:rPr>
              <w:t xml:space="preserve"> (1)</w:t>
            </w:r>
          </w:p>
        </w:tc>
        <w:tc>
          <w:tcPr>
            <w:tcW w:w="0" w:type="auto"/>
            <w:gridSpan w:val="3"/>
            <w:hMerge/>
            <w:tcBorders>
              <w:top w:val="single" w:sz="8" w:space="0" w:color="auto"/>
              <w:bottom w:val="single" w:sz="8" w:space="0" w:color="auto"/>
            </w:tcBorders>
            <w:tcMar>
              <w:left w:w="0" w:type="dxa"/>
              <w:right w:w="60" w:type="dxa"/>
            </w:tcMar>
          </w:tcPr>
          <w:p w:rsidR="002E3B31" w:rsidRDefault="002E3B31"/>
        </w:tc>
        <w:tc>
          <w:tcPr>
            <w:tcW w:w="80" w:type="dxa"/>
            <w:tcBorders>
              <w:top w:val="single" w:sz="8" w:space="0" w:color="auto"/>
              <w:bottom w:val="single" w:sz="8" w:space="0" w:color="auto"/>
            </w:tcBorders>
            <w:tcMar>
              <w:left w:w="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 xml:space="preserve">September 30, 2017 </w:t>
            </w:r>
            <w:r>
              <w:rPr>
                <w:b/>
                <w:sz w:val="16"/>
                <w:vertAlign w:val="superscript"/>
              </w:rPr>
              <w:t>(2)</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sz w:val="16"/>
              </w:rPr>
              <w:t xml:space="preserve">September 30, 2017 </w:t>
            </w:r>
            <w:r>
              <w:rPr>
                <w:b/>
                <w:sz w:val="16"/>
                <w:vertAlign w:val="superscript"/>
              </w:rPr>
              <w:t>(2)</w:t>
            </w:r>
          </w:p>
        </w:tc>
        <w:tc>
          <w:tcPr>
            <w:tcW w:w="0" w:type="auto"/>
            <w:gridSpan w:val="3"/>
            <w:hMerge/>
            <w:tcBorders>
              <w:top w:val="single" w:sz="8" w:space="0" w:color="auto"/>
              <w:bottom w:val="single" w:sz="8" w:space="0" w:color="auto"/>
            </w:tcBorders>
            <w:tcMar>
              <w:left w:w="0" w:type="dxa"/>
              <w:right w:w="60" w:type="dxa"/>
            </w:tcMar>
          </w:tcPr>
          <w:p w:rsidR="002E3B31" w:rsidRDefault="002E3B31"/>
        </w:tc>
      </w:tr>
      <w:tr w:rsidR="002E3B31">
        <w:trPr>
          <w:trHeight w:hRule="exact" w:val="300"/>
          <w:jc w:val="center"/>
        </w:trPr>
        <w:tc>
          <w:tcPr>
            <w:tcW w:w="5200" w:type="dxa"/>
            <w:gridSpan w:val="13"/>
            <w:tcMar>
              <w:left w:w="60" w:type="dxa"/>
              <w:right w:w="40" w:type="dxa"/>
            </w:tcMar>
            <w:vAlign w:val="bottom"/>
          </w:tcPr>
          <w:p w:rsidR="002E3B31" w:rsidRDefault="007C6E2D">
            <w:pPr>
              <w:keepNext/>
              <w:keepLines/>
              <w:spacing w:before="40" w:after="40"/>
            </w:pPr>
            <w:r>
              <w:rPr>
                <w:color w:val="000000"/>
              </w:rPr>
              <w:t>Expansion capital expenditures</w:t>
            </w:r>
          </w:p>
        </w:tc>
        <w:tc>
          <w:tcPr>
            <w:tcW w:w="80" w:type="dxa"/>
            <w:tcMar>
              <w:left w:w="60" w:type="dxa"/>
              <w:right w:w="0" w:type="dxa"/>
            </w:tcMar>
            <w:vAlign w:val="bottom"/>
          </w:tcPr>
          <w:p w:rsidR="002E3B31" w:rsidRDefault="002E3B31">
            <w:pPr>
              <w:keepNext/>
              <w:keepLines/>
              <w:spacing w:before="40" w:after="40"/>
            </w:pPr>
          </w:p>
        </w:tc>
        <w:tc>
          <w:tcPr>
            <w:tcW w:w="110" w:type="dxa"/>
            <w:gridSpan w:val="11"/>
            <w:tcMar>
              <w:left w:w="0" w:type="dxa"/>
              <w:right w:w="0" w:type="dxa"/>
            </w:tcMar>
            <w:vAlign w:val="bottom"/>
          </w:tcPr>
          <w:p w:rsidR="002E3B31" w:rsidRDefault="007C6E2D">
            <w:pPr>
              <w:keepNext/>
              <w:keepLines/>
              <w:spacing w:before="40" w:after="40"/>
            </w:pPr>
            <w:r>
              <w:rPr>
                <w:color w:val="000000"/>
              </w:rPr>
              <w:t>$</w:t>
            </w:r>
          </w:p>
        </w:tc>
        <w:tc>
          <w:tcPr>
            <w:tcW w:w="1233" w:type="dxa"/>
            <w:tcMar>
              <w:left w:w="0" w:type="dxa"/>
              <w:right w:w="0" w:type="dxa"/>
            </w:tcMar>
            <w:vAlign w:val="bottom"/>
          </w:tcPr>
          <w:p w:rsidR="002E3B31" w:rsidRDefault="007C6E2D">
            <w:pPr>
              <w:keepNext/>
              <w:keepLines/>
              <w:spacing w:before="40" w:after="40"/>
              <w:jc w:val="right"/>
            </w:pPr>
            <w:r>
              <w:rPr>
                <w:color w:val="000000"/>
              </w:rPr>
              <w:t>6.7</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10" w:type="dxa"/>
            <w:gridSpan w:val="3"/>
            <w:tcBorders>
              <w:top w:val="single" w:sz="8" w:space="0" w:color="auto"/>
            </w:tcBorders>
            <w:tcMar>
              <w:left w:w="0" w:type="dxa"/>
              <w:right w:w="0" w:type="dxa"/>
            </w:tcMar>
            <w:vAlign w:val="bottom"/>
          </w:tcPr>
          <w:p w:rsidR="002E3B31" w:rsidRDefault="007C6E2D">
            <w:pPr>
              <w:keepNext/>
              <w:keepLines/>
              <w:spacing w:before="40" w:after="40"/>
            </w:pPr>
            <w:r>
              <w:rPr>
                <w:color w:val="000000"/>
              </w:rPr>
              <w:t>$</w:t>
            </w:r>
          </w:p>
        </w:tc>
        <w:tc>
          <w:tcPr>
            <w:tcW w:w="1573" w:type="dxa"/>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4.9</w:t>
            </w:r>
          </w:p>
        </w:tc>
        <w:tc>
          <w:tcPr>
            <w:tcW w:w="77" w:type="dxa"/>
            <w:tcBorders>
              <w:top w:val="single" w:sz="8" w:space="0" w:color="auto"/>
            </w:tcBorders>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433" w:type="dxa"/>
            <w:tcMar>
              <w:left w:w="0" w:type="dxa"/>
              <w:right w:w="0" w:type="dxa"/>
            </w:tcMar>
            <w:vAlign w:val="bottom"/>
          </w:tcPr>
          <w:p w:rsidR="002E3B31" w:rsidRDefault="007C6E2D">
            <w:pPr>
              <w:keepNext/>
              <w:keepLines/>
              <w:spacing w:before="40" w:after="40"/>
              <w:jc w:val="right"/>
            </w:pPr>
            <w:r>
              <w:rPr>
                <w:color w:val="000000"/>
              </w:rPr>
              <w:t>4.8</w:t>
            </w:r>
          </w:p>
        </w:tc>
        <w:tc>
          <w:tcPr>
            <w:tcW w:w="77" w:type="dxa"/>
            <w:tcMar>
              <w:left w:w="0" w:type="dxa"/>
              <w:right w:w="0" w:type="dxa"/>
            </w:tcMar>
          </w:tcPr>
          <w:p w:rsidR="002E3B31" w:rsidRDefault="002E3B31"/>
        </w:tc>
      </w:tr>
      <w:tr w:rsidR="002E3B31">
        <w:trPr>
          <w:trHeight w:hRule="exact" w:val="300"/>
          <w:jc w:val="center"/>
        </w:trPr>
        <w:tc>
          <w:tcPr>
            <w:tcW w:w="5200" w:type="dxa"/>
            <w:gridSpan w:val="13"/>
            <w:tcMar>
              <w:left w:w="60" w:type="dxa"/>
              <w:right w:w="40" w:type="dxa"/>
            </w:tcMar>
            <w:vAlign w:val="bottom"/>
          </w:tcPr>
          <w:p w:rsidR="002E3B31" w:rsidRDefault="007C6E2D">
            <w:pPr>
              <w:keepNext/>
              <w:keepLines/>
              <w:spacing w:before="40" w:after="40"/>
            </w:pPr>
            <w:r>
              <w:rPr>
                <w:color w:val="000000"/>
              </w:rPr>
              <w:t>Maintenance capital expenditures</w:t>
            </w:r>
          </w:p>
        </w:tc>
        <w:tc>
          <w:tcPr>
            <w:tcW w:w="80" w:type="dxa"/>
            <w:tcMar>
              <w:left w:w="60" w:type="dxa"/>
              <w:right w:w="0" w:type="dxa"/>
            </w:tcMar>
            <w:vAlign w:val="bottom"/>
          </w:tcPr>
          <w:p w:rsidR="002E3B31" w:rsidRDefault="002E3B31">
            <w:pPr>
              <w:keepNext/>
              <w:keepLines/>
              <w:spacing w:before="40" w:after="40"/>
            </w:pPr>
          </w:p>
        </w:tc>
        <w:tc>
          <w:tcPr>
            <w:tcW w:w="134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8.2</w:t>
            </w:r>
          </w:p>
        </w:tc>
        <w:tc>
          <w:tcPr>
            <w:tcW w:w="0" w:type="auto"/>
            <w:gridSpan w:val="11"/>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8.2</w:t>
            </w:r>
          </w:p>
        </w:tc>
        <w:tc>
          <w:tcPr>
            <w:tcW w:w="77" w:type="dxa"/>
            <w:tcBorders>
              <w:bottom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83" w:type="dxa"/>
            <w:hMerge w:val="restart"/>
            <w:tcMar>
              <w:left w:w="0" w:type="dxa"/>
              <w:right w:w="0" w:type="dxa"/>
            </w:tcMar>
            <w:vAlign w:val="bottom"/>
          </w:tcPr>
          <w:p w:rsidR="002E3B31" w:rsidRDefault="007C6E2D">
            <w:pPr>
              <w:keepNext/>
              <w:keepLines/>
              <w:spacing w:before="40" w:after="40"/>
              <w:jc w:val="right"/>
            </w:pPr>
            <w:r>
              <w:rPr>
                <w:color w:val="000000"/>
              </w:rPr>
              <w:t>11.6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11.6</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543" w:type="dxa"/>
            <w:hMerge w:val="restart"/>
            <w:tcMar>
              <w:left w:w="0" w:type="dxa"/>
              <w:right w:w="0" w:type="dxa"/>
            </w:tcMar>
            <w:vAlign w:val="bottom"/>
          </w:tcPr>
          <w:p w:rsidR="002E3B31" w:rsidRDefault="007C6E2D">
            <w:pPr>
              <w:keepNext/>
              <w:keepLines/>
              <w:spacing w:before="40" w:after="40"/>
              <w:jc w:val="right"/>
            </w:pPr>
            <w:r>
              <w:rPr>
                <w:color w:val="000000"/>
              </w:rPr>
              <w:t>9.8</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9.8</w:t>
            </w:r>
          </w:p>
        </w:tc>
        <w:tc>
          <w:tcPr>
            <w:tcW w:w="77" w:type="dxa"/>
            <w:tcMar>
              <w:left w:w="0" w:type="dxa"/>
              <w:right w:w="0" w:type="dxa"/>
            </w:tcMar>
          </w:tcPr>
          <w:p w:rsidR="002E3B31" w:rsidRDefault="002E3B31"/>
        </w:tc>
      </w:tr>
      <w:tr w:rsidR="002E3B31">
        <w:trPr>
          <w:trHeight w:hRule="exact" w:val="300"/>
          <w:jc w:val="center"/>
        </w:trPr>
        <w:tc>
          <w:tcPr>
            <w:tcW w:w="5200" w:type="dxa"/>
            <w:gridSpan w:val="13"/>
            <w:tcMar>
              <w:left w:w="60" w:type="dxa"/>
              <w:right w:w="40" w:type="dxa"/>
            </w:tcMar>
            <w:vAlign w:val="bottom"/>
          </w:tcPr>
          <w:p w:rsidR="002E3B31" w:rsidRDefault="007C6E2D">
            <w:pPr>
              <w:keepLines/>
              <w:spacing w:before="40" w:after="40"/>
            </w:pPr>
            <w:r>
              <w:rPr>
                <w:color w:val="000000"/>
              </w:rPr>
              <w:t>Total capital expenditures paid</w:t>
            </w:r>
          </w:p>
        </w:tc>
        <w:tc>
          <w:tcPr>
            <w:tcW w:w="80" w:type="dxa"/>
            <w:tcMar>
              <w:left w:w="60" w:type="dxa"/>
              <w:right w:w="0" w:type="dxa"/>
            </w:tcMar>
            <w:vAlign w:val="bottom"/>
          </w:tcPr>
          <w:p w:rsidR="002E3B31" w:rsidRDefault="002E3B31">
            <w:pPr>
              <w:keepLines/>
              <w:spacing w:before="40" w:after="40"/>
            </w:pPr>
          </w:p>
        </w:tc>
        <w:tc>
          <w:tcPr>
            <w:tcW w:w="110" w:type="dxa"/>
            <w:gridSpan w:val="11"/>
            <w:tcBorders>
              <w:top w:val="single" w:sz="8" w:space="0" w:color="auto"/>
            </w:tcBorders>
            <w:tcMar>
              <w:left w:w="0" w:type="dxa"/>
              <w:right w:w="0" w:type="dxa"/>
            </w:tcMar>
            <w:vAlign w:val="bottom"/>
          </w:tcPr>
          <w:p w:rsidR="002E3B31" w:rsidRDefault="007C6E2D">
            <w:pPr>
              <w:keepLines/>
              <w:spacing w:before="40" w:after="40"/>
            </w:pPr>
            <w:r>
              <w:rPr>
                <w:color w:val="000000"/>
              </w:rPr>
              <w:t>$</w:t>
            </w:r>
          </w:p>
        </w:tc>
        <w:tc>
          <w:tcPr>
            <w:tcW w:w="1233" w:type="dxa"/>
            <w:tcBorders>
              <w:top w:val="single" w:sz="8" w:space="0" w:color="auto"/>
            </w:tcBorders>
            <w:tcMar>
              <w:left w:w="0" w:type="dxa"/>
              <w:right w:w="0" w:type="dxa"/>
            </w:tcMar>
            <w:vAlign w:val="bottom"/>
          </w:tcPr>
          <w:p w:rsidR="002E3B31" w:rsidRDefault="007C6E2D">
            <w:pPr>
              <w:keepLines/>
              <w:spacing w:before="40" w:after="40"/>
              <w:jc w:val="right"/>
            </w:pPr>
            <w:r>
              <w:rPr>
                <w:color w:val="000000"/>
              </w:rPr>
              <w:t>14.9</w:t>
            </w:r>
          </w:p>
        </w:tc>
        <w:tc>
          <w:tcPr>
            <w:tcW w:w="77" w:type="dxa"/>
            <w:tcBorders>
              <w:top w:val="single" w:sz="8" w:space="0" w:color="auto"/>
            </w:tcBorders>
            <w:tcMar>
              <w:left w:w="0" w:type="dxa"/>
              <w:right w:w="0" w:type="dxa"/>
            </w:tcMar>
          </w:tcPr>
          <w:p w:rsidR="002E3B31" w:rsidRDefault="002E3B31"/>
        </w:tc>
        <w:tc>
          <w:tcPr>
            <w:tcW w:w="80" w:type="dxa"/>
            <w:tcMar>
              <w:left w:w="60" w:type="dxa"/>
              <w:right w:w="0" w:type="dxa"/>
            </w:tcMar>
            <w:vAlign w:val="bottom"/>
          </w:tcPr>
          <w:p w:rsidR="002E3B31" w:rsidRDefault="002E3B31">
            <w:pPr>
              <w:keepLines/>
              <w:spacing w:before="40" w:after="40"/>
            </w:pPr>
          </w:p>
        </w:tc>
        <w:tc>
          <w:tcPr>
            <w:tcW w:w="110" w:type="dxa"/>
            <w:gridSpan w:val="3"/>
            <w:tcBorders>
              <w:top w:val="single" w:sz="8" w:space="0" w:color="auto"/>
            </w:tcBorders>
            <w:tcMar>
              <w:left w:w="0" w:type="dxa"/>
              <w:right w:w="0" w:type="dxa"/>
            </w:tcMar>
            <w:vAlign w:val="bottom"/>
          </w:tcPr>
          <w:p w:rsidR="002E3B31" w:rsidRDefault="007C6E2D">
            <w:pPr>
              <w:keepLines/>
              <w:spacing w:before="40" w:after="40"/>
            </w:pPr>
            <w:r>
              <w:rPr>
                <w:color w:val="000000"/>
              </w:rPr>
              <w:t>$</w:t>
            </w:r>
          </w:p>
        </w:tc>
        <w:tc>
          <w:tcPr>
            <w:tcW w:w="1573" w:type="dxa"/>
            <w:tcBorders>
              <w:top w:val="single" w:sz="8" w:space="0" w:color="auto"/>
            </w:tcBorders>
            <w:tcMar>
              <w:left w:w="0" w:type="dxa"/>
              <w:right w:w="0" w:type="dxa"/>
            </w:tcMar>
            <w:vAlign w:val="bottom"/>
          </w:tcPr>
          <w:p w:rsidR="002E3B31" w:rsidRDefault="007C6E2D">
            <w:pPr>
              <w:keepLines/>
              <w:spacing w:before="40" w:after="40"/>
              <w:jc w:val="right"/>
            </w:pPr>
            <w:r>
              <w:rPr>
                <w:color w:val="000000"/>
              </w:rPr>
              <w:t>16.5</w:t>
            </w:r>
          </w:p>
        </w:tc>
        <w:tc>
          <w:tcPr>
            <w:tcW w:w="77" w:type="dxa"/>
            <w:tcBorders>
              <w:top w:val="single" w:sz="8" w:space="0" w:color="auto"/>
            </w:tcBorders>
            <w:tcMar>
              <w:left w:w="0" w:type="dxa"/>
              <w:right w:w="0" w:type="dxa"/>
            </w:tcMar>
          </w:tcPr>
          <w:p w:rsidR="002E3B31" w:rsidRDefault="002E3B31"/>
        </w:tc>
        <w:tc>
          <w:tcPr>
            <w:tcW w:w="80" w:type="dxa"/>
            <w:tcBorders>
              <w:top w:val="single" w:sz="8" w:space="0" w:color="auto"/>
            </w:tcBorders>
            <w:tcMar>
              <w:left w:w="0" w:type="dxa"/>
              <w:right w:w="60" w:type="dxa"/>
            </w:tcMar>
            <w:vAlign w:val="bottom"/>
          </w:tcPr>
          <w:p w:rsidR="002E3B31" w:rsidRDefault="002E3B31">
            <w:pPr>
              <w:keepLines/>
              <w:spacing w:before="40" w:after="40"/>
            </w:pPr>
          </w:p>
        </w:tc>
        <w:tc>
          <w:tcPr>
            <w:tcW w:w="110" w:type="dxa"/>
            <w:gridSpan w:val="3"/>
            <w:tcBorders>
              <w:top w:val="single" w:sz="8" w:space="0" w:color="auto"/>
            </w:tcBorders>
            <w:tcMar>
              <w:left w:w="0" w:type="dxa"/>
              <w:right w:w="0" w:type="dxa"/>
            </w:tcMar>
            <w:vAlign w:val="bottom"/>
          </w:tcPr>
          <w:p w:rsidR="002E3B31" w:rsidRDefault="007C6E2D">
            <w:pPr>
              <w:keepLines/>
              <w:spacing w:before="40" w:after="40"/>
            </w:pPr>
            <w:r>
              <w:rPr>
                <w:color w:val="000000"/>
              </w:rPr>
              <w:t>$</w:t>
            </w:r>
          </w:p>
        </w:tc>
        <w:tc>
          <w:tcPr>
            <w:tcW w:w="1433" w:type="dxa"/>
            <w:tcBorders>
              <w:top w:val="single" w:sz="8" w:space="0" w:color="auto"/>
            </w:tcBorders>
            <w:tcMar>
              <w:left w:w="0" w:type="dxa"/>
              <w:right w:w="0" w:type="dxa"/>
            </w:tcMar>
            <w:vAlign w:val="bottom"/>
          </w:tcPr>
          <w:p w:rsidR="002E3B31" w:rsidRDefault="007C6E2D">
            <w:pPr>
              <w:keepLines/>
              <w:spacing w:before="40" w:after="40"/>
              <w:jc w:val="right"/>
            </w:pPr>
            <w:r>
              <w:rPr>
                <w:color w:val="000000"/>
              </w:rPr>
              <w:t>14.6</w:t>
            </w:r>
          </w:p>
        </w:tc>
        <w:tc>
          <w:tcPr>
            <w:tcW w:w="77" w:type="dxa"/>
            <w:tcBorders>
              <w:top w:val="single" w:sz="8" w:space="0" w:color="auto"/>
            </w:tcBorders>
            <w:tcMar>
              <w:left w:w="0" w:type="dxa"/>
              <w:right w:w="0" w:type="dxa"/>
            </w:tcMar>
          </w:tcPr>
          <w:p w:rsidR="002E3B31" w:rsidRDefault="002E3B31"/>
        </w:tc>
      </w:tr>
    </w:tbl>
    <w:p w:rsidR="002E3B31" w:rsidRDefault="007C6E2D">
      <w:pPr>
        <w:spacing w:before="60" w:line="288" w:lineRule="auto"/>
        <w:rPr>
          <w:vertAlign w:val="superscript"/>
        </w:rPr>
      </w:pPr>
      <w:r>
        <w:rPr>
          <w:vertAlign w:val="superscript"/>
        </w:rPr>
        <w:t>(1)</w:t>
      </w:r>
      <w:r>
        <w:rPr>
          <w:i/>
        </w:rPr>
        <w:t xml:space="preserve"> Prior quarter financial information has been retrospectively adjusted for the acquisition completed in December 2017.</w:t>
      </w:r>
    </w:p>
    <w:p w:rsidR="002E3B31" w:rsidRDefault="007C6E2D">
      <w:pPr>
        <w:spacing w:line="288" w:lineRule="auto"/>
        <w:rPr>
          <w:vertAlign w:val="superscript"/>
        </w:rPr>
      </w:pPr>
      <w:r>
        <w:rPr>
          <w:vertAlign w:val="superscript"/>
        </w:rPr>
        <w:t>(2)</w:t>
      </w:r>
      <w:r>
        <w:rPr>
          <w:i/>
        </w:rPr>
        <w:t xml:space="preserve"> As previously reported in our Quarterly Report on Form 10-Q for the period ended September 30, 2017.</w:t>
      </w:r>
    </w:p>
    <w:p w:rsidR="002E3B31" w:rsidRDefault="007C6E2D">
      <w:pPr>
        <w:spacing w:line="288" w:lineRule="auto"/>
        <w:rPr>
          <w:i/>
        </w:rPr>
      </w:pPr>
      <w:r>
        <w:rPr>
          <w:i/>
        </w:rPr>
        <w:t>.</w:t>
      </w:r>
    </w:p>
    <w:p w:rsidR="002E3B31" w:rsidRDefault="002E3B31">
      <w:pPr>
        <w:spacing w:after="140"/>
        <w:jc w:val="center"/>
        <w:rPr>
          <w:i/>
        </w:rPr>
      </w:pPr>
    </w:p>
    <w:tbl>
      <w:tblPr>
        <w:tblW w:w="10240" w:type="dxa"/>
        <w:jc w:val="center"/>
        <w:tblLayout w:type="fixed"/>
        <w:tblCellMar>
          <w:left w:w="10" w:type="dxa"/>
          <w:right w:w="10" w:type="dxa"/>
        </w:tblCellMar>
        <w:tblLook w:val="04A0" w:firstRow="1" w:lastRow="0" w:firstColumn="1" w:lastColumn="0" w:noHBand="0" w:noVBand="1"/>
      </w:tblPr>
      <w:tblGrid>
        <w:gridCol w:w="1"/>
        <w:gridCol w:w="1"/>
        <w:gridCol w:w="1"/>
        <w:gridCol w:w="1"/>
        <w:gridCol w:w="1"/>
        <w:gridCol w:w="1"/>
        <w:gridCol w:w="1"/>
        <w:gridCol w:w="1"/>
        <w:gridCol w:w="1"/>
        <w:gridCol w:w="5191"/>
        <w:gridCol w:w="80"/>
        <w:gridCol w:w="1"/>
        <w:gridCol w:w="1362"/>
        <w:gridCol w:w="77"/>
        <w:gridCol w:w="80"/>
        <w:gridCol w:w="1"/>
        <w:gridCol w:w="1602"/>
        <w:gridCol w:w="77"/>
        <w:gridCol w:w="80"/>
        <w:gridCol w:w="1"/>
        <w:gridCol w:w="1602"/>
        <w:gridCol w:w="77"/>
      </w:tblGrid>
      <w:tr w:rsidR="002E3B31">
        <w:trPr>
          <w:trHeight w:hRule="exact" w:val="300"/>
          <w:jc w:val="center"/>
        </w:trPr>
        <w:tc>
          <w:tcPr>
            <w:tcW w:w="10240" w:type="dxa"/>
            <w:hMerge w:val="restart"/>
            <w:tcMar>
              <w:left w:w="60" w:type="dxa"/>
              <w:right w:w="40" w:type="dxa"/>
            </w:tcMar>
            <w:vAlign w:val="bottom"/>
          </w:tcPr>
          <w:p w:rsidR="002E3B31" w:rsidRDefault="007C6E2D">
            <w:pPr>
              <w:keepNext/>
              <w:keepLines/>
              <w:spacing w:before="40" w:after="40"/>
              <w:rPr>
                <w:b/>
                <w:sz w:val="22"/>
              </w:rPr>
            </w:pPr>
            <w:r>
              <w:rPr>
                <w:b/>
                <w:sz w:val="22"/>
              </w:rPr>
              <w:t>Condensed Consolidated Balance Sheet Information</w:t>
            </w:r>
          </w:p>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0" w:type="dxa"/>
              <w:right w:w="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0" w:type="dxa"/>
              <w:right w:w="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gridSpan w:val="13"/>
            <w:hMerge/>
            <w:tcMar>
              <w:left w:w="0" w:type="dxa"/>
              <w:right w:w="0" w:type="dxa"/>
            </w:tcMar>
          </w:tcPr>
          <w:p w:rsidR="002E3B31" w:rsidRDefault="002E3B31"/>
        </w:tc>
      </w:tr>
      <w:tr w:rsidR="002E3B31">
        <w:trPr>
          <w:trHeight w:hRule="exact" w:val="420"/>
          <w:jc w:val="center"/>
        </w:trPr>
        <w:tc>
          <w:tcPr>
            <w:tcW w:w="5200" w:type="dxa"/>
            <w:gridSpan w:val="10"/>
            <w:tcMar>
              <w:left w:w="60" w:type="dxa"/>
              <w:right w:w="40" w:type="dxa"/>
            </w:tcMar>
            <w:vAlign w:val="bottom"/>
          </w:tcPr>
          <w:p w:rsidR="002E3B31" w:rsidRDefault="007C6E2D">
            <w:pPr>
              <w:keepNext/>
              <w:keepLines/>
              <w:spacing w:before="40" w:after="40"/>
              <w:rPr>
                <w:b/>
                <w:sz w:val="16"/>
              </w:rPr>
            </w:pPr>
            <w:r>
              <w:rPr>
                <w:b/>
                <w:sz w:val="16"/>
              </w:rPr>
              <w:t>(in millions of dollars)</w:t>
            </w:r>
          </w:p>
        </w:tc>
        <w:tc>
          <w:tcPr>
            <w:tcW w:w="80" w:type="dxa"/>
            <w:tcMar>
              <w:left w:w="60" w:type="dxa"/>
              <w:right w:w="0" w:type="dxa"/>
            </w:tcMar>
            <w:vAlign w:val="bottom"/>
          </w:tcPr>
          <w:p w:rsidR="002E3B31" w:rsidRDefault="002E3B31">
            <w:pPr>
              <w:keepNext/>
              <w:keepLines/>
              <w:spacing w:before="40" w:after="40"/>
            </w:pPr>
          </w:p>
        </w:tc>
        <w:tc>
          <w:tcPr>
            <w:tcW w:w="1363"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0" w:type="auto"/>
            <w:gridSpan w:val="2"/>
            <w:hMerge/>
            <w:tcBorders>
              <w:top w:val="single" w:sz="8" w:space="0" w:color="auto"/>
              <w:bottom w:val="single" w:sz="8" w:space="0" w:color="auto"/>
            </w:tcBorders>
            <w:tcMar>
              <w:left w:w="0" w:type="dxa"/>
              <w:right w:w="6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September 30, 2017</w:t>
            </w:r>
            <w:r>
              <w:rPr>
                <w:b/>
                <w:sz w:val="16"/>
                <w:vertAlign w:val="superscript"/>
              </w:rPr>
              <w:t xml:space="preserve"> (1)</w:t>
            </w:r>
          </w:p>
        </w:tc>
        <w:tc>
          <w:tcPr>
            <w:tcW w:w="0" w:type="auto"/>
            <w:gridSpan w:val="2"/>
            <w:hMerge/>
            <w:tcBorders>
              <w:top w:val="single" w:sz="8" w:space="0" w:color="auto"/>
              <w:bottom w:val="single" w:sz="8" w:space="0" w:color="auto"/>
            </w:tcBorders>
            <w:tcMar>
              <w:left w:w="0" w:type="dxa"/>
              <w:right w:w="60" w:type="dxa"/>
            </w:tcMar>
          </w:tcPr>
          <w:p w:rsidR="002E3B31" w:rsidRDefault="002E3B31"/>
        </w:tc>
        <w:tc>
          <w:tcPr>
            <w:tcW w:w="80" w:type="dxa"/>
            <w:tcBorders>
              <w:top w:val="single" w:sz="8" w:space="0" w:color="auto"/>
              <w:bottom w:val="single" w:sz="8" w:space="0" w:color="auto"/>
            </w:tcBorders>
            <w:tcMar>
              <w:left w:w="0" w:type="dxa"/>
              <w:right w:w="0" w:type="dxa"/>
            </w:tcMar>
            <w:vAlign w:val="bottom"/>
          </w:tcPr>
          <w:p w:rsidR="002E3B31" w:rsidRDefault="002E3B31">
            <w:pPr>
              <w:keepNext/>
              <w:keepLines/>
              <w:spacing w:before="40" w:after="40"/>
            </w:pPr>
          </w:p>
        </w:tc>
        <w:tc>
          <w:tcPr>
            <w:tcW w:w="1603"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sz w:val="16"/>
              </w:rPr>
              <w:t xml:space="preserve">September 30, 2017 </w:t>
            </w:r>
            <w:r>
              <w:rPr>
                <w:b/>
                <w:sz w:val="16"/>
                <w:vertAlign w:val="superscript"/>
              </w:rPr>
              <w:t>(2)</w:t>
            </w:r>
          </w:p>
        </w:tc>
        <w:tc>
          <w:tcPr>
            <w:tcW w:w="0" w:type="auto"/>
            <w:gridSpan w:val="2"/>
            <w:hMerge/>
            <w:tcBorders>
              <w:top w:val="single" w:sz="8" w:space="0" w:color="auto"/>
              <w:bottom w:val="single" w:sz="8" w:space="0" w:color="auto"/>
            </w:tcBorders>
            <w:tcMar>
              <w:left w:w="0" w:type="dxa"/>
              <w:right w:w="60" w:type="dxa"/>
            </w:tcMar>
          </w:tcPr>
          <w:p w:rsidR="002E3B31" w:rsidRDefault="002E3B31"/>
        </w:tc>
      </w:tr>
      <w:tr w:rsidR="002E3B31">
        <w:trPr>
          <w:trHeight w:hRule="exact" w:val="300"/>
          <w:jc w:val="center"/>
        </w:trPr>
        <w:tc>
          <w:tcPr>
            <w:tcW w:w="5200" w:type="dxa"/>
            <w:gridSpan w:val="10"/>
            <w:tcMar>
              <w:left w:w="60" w:type="dxa"/>
              <w:right w:w="40" w:type="dxa"/>
            </w:tcMar>
            <w:vAlign w:val="bottom"/>
          </w:tcPr>
          <w:p w:rsidR="002E3B31" w:rsidRDefault="007C6E2D">
            <w:pPr>
              <w:keepNext/>
              <w:keepLines/>
              <w:spacing w:before="40" w:after="40"/>
            </w:pPr>
            <w:r>
              <w:rPr>
                <w:color w:val="000000"/>
              </w:rPr>
              <w:t>Cash and cash equivalents</w:t>
            </w:r>
          </w:p>
        </w:tc>
        <w:tc>
          <w:tcPr>
            <w:tcW w:w="80" w:type="dxa"/>
            <w:tcMar>
              <w:left w:w="60" w:type="dxa"/>
              <w:right w:w="0" w:type="dxa"/>
            </w:tcMar>
            <w:vAlign w:val="bottom"/>
          </w:tcPr>
          <w:p w:rsidR="002E3B31" w:rsidRDefault="002E3B31">
            <w:pPr>
              <w:keepNext/>
              <w:keepLines/>
              <w:spacing w:before="40" w:after="40"/>
            </w:pPr>
          </w:p>
        </w:tc>
        <w:tc>
          <w:tcPr>
            <w:tcW w:w="1363" w:type="dxa"/>
            <w:gridSpan w:val="2"/>
            <w:tcMar>
              <w:left w:w="0" w:type="dxa"/>
              <w:right w:w="0" w:type="dxa"/>
            </w:tcMar>
            <w:vAlign w:val="bottom"/>
          </w:tcPr>
          <w:p w:rsidR="002E3B31" w:rsidRDefault="007C6E2D">
            <w:pPr>
              <w:keepNext/>
              <w:keepLines/>
              <w:spacing w:before="40" w:after="40"/>
              <w:jc w:val="right"/>
            </w:pPr>
            <w:r>
              <w:rPr>
                <w:color w:val="000000"/>
              </w:rPr>
              <w:t>137.7</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172.8</w:t>
            </w:r>
          </w:p>
        </w:tc>
        <w:tc>
          <w:tcPr>
            <w:tcW w:w="77" w:type="dxa"/>
            <w:tcBorders>
              <w:top w:val="single" w:sz="8" w:space="0" w:color="auto"/>
            </w:tcBorders>
            <w:tcMar>
              <w:left w:w="0" w:type="dxa"/>
              <w:right w:w="0" w:type="dxa"/>
            </w:tcMar>
          </w:tcPr>
          <w:p w:rsidR="002E3B31" w:rsidRDefault="002E3B31"/>
        </w:tc>
        <w:tc>
          <w:tcPr>
            <w:tcW w:w="80" w:type="dxa"/>
            <w:tcBorders>
              <w:top w:val="single" w:sz="8" w:space="0" w:color="auto"/>
            </w:tcBorders>
            <w:tcMar>
              <w:left w:w="0" w:type="dxa"/>
              <w:right w:w="60" w:type="dxa"/>
            </w:tcMar>
            <w:vAlign w:val="bottom"/>
          </w:tcPr>
          <w:p w:rsidR="002E3B31" w:rsidRDefault="002E3B31">
            <w:pPr>
              <w:keepNext/>
              <w:keepLines/>
              <w:spacing w:before="40" w:after="40"/>
            </w:pPr>
          </w:p>
        </w:tc>
        <w:tc>
          <w:tcPr>
            <w:tcW w:w="1603" w:type="dxa"/>
            <w:gridSpan w:val="2"/>
            <w:tcBorders>
              <w:top w:val="single" w:sz="8" w:space="0" w:color="auto"/>
            </w:tcBorders>
            <w:tcMar>
              <w:left w:w="0" w:type="dxa"/>
              <w:right w:w="0" w:type="dxa"/>
            </w:tcMar>
            <w:vAlign w:val="bottom"/>
          </w:tcPr>
          <w:p w:rsidR="002E3B31" w:rsidRDefault="007C6E2D">
            <w:pPr>
              <w:keepNext/>
              <w:keepLines/>
              <w:spacing w:before="40" w:after="40"/>
              <w:jc w:val="right"/>
            </w:pPr>
            <w:r>
              <w:rPr>
                <w:color w:val="000000"/>
              </w:rPr>
              <w:t>171.9</w:t>
            </w:r>
          </w:p>
        </w:tc>
        <w:tc>
          <w:tcPr>
            <w:tcW w:w="77" w:type="dxa"/>
            <w:tcBorders>
              <w:top w:val="single" w:sz="8" w:space="0" w:color="auto"/>
            </w:tcBorders>
            <w:tcMar>
              <w:left w:w="0" w:type="dxa"/>
              <w:right w:w="0" w:type="dxa"/>
            </w:tcMar>
          </w:tcPr>
          <w:p w:rsidR="002E3B31" w:rsidRDefault="002E3B31"/>
        </w:tc>
      </w:tr>
      <w:tr w:rsidR="002E3B31">
        <w:trPr>
          <w:trHeight w:hRule="exact" w:val="300"/>
          <w:jc w:val="center"/>
        </w:trPr>
        <w:tc>
          <w:tcPr>
            <w:tcW w:w="5200" w:type="dxa"/>
            <w:gridSpan w:val="10"/>
            <w:tcMar>
              <w:left w:w="60" w:type="dxa"/>
              <w:right w:w="40" w:type="dxa"/>
            </w:tcMar>
            <w:vAlign w:val="bottom"/>
          </w:tcPr>
          <w:p w:rsidR="002E3B31" w:rsidRDefault="007C6E2D">
            <w:pPr>
              <w:keepNext/>
              <w:keepLines/>
              <w:spacing w:before="40" w:after="40"/>
            </w:pPr>
            <w:r>
              <w:rPr>
                <w:color w:val="000000"/>
              </w:rPr>
              <w:t>Property, plant &amp; equipment, net</w:t>
            </w:r>
          </w:p>
        </w:tc>
        <w:tc>
          <w:tcPr>
            <w:tcW w:w="80" w:type="dxa"/>
            <w:tcMar>
              <w:left w:w="60" w:type="dxa"/>
              <w:right w:w="0" w:type="dxa"/>
            </w:tcMar>
            <w:vAlign w:val="bottom"/>
          </w:tcPr>
          <w:p w:rsidR="002E3B31" w:rsidRDefault="002E3B31">
            <w:pPr>
              <w:keepNext/>
              <w:keepLines/>
              <w:spacing w:before="40" w:after="40"/>
            </w:pPr>
          </w:p>
        </w:tc>
        <w:tc>
          <w:tcPr>
            <w:tcW w:w="1363" w:type="dxa"/>
            <w:gridSpan w:val="2"/>
            <w:tcMar>
              <w:left w:w="0" w:type="dxa"/>
              <w:right w:w="0" w:type="dxa"/>
            </w:tcMar>
            <w:vAlign w:val="bottom"/>
          </w:tcPr>
          <w:p w:rsidR="002E3B31" w:rsidRDefault="007C6E2D">
            <w:pPr>
              <w:keepNext/>
              <w:keepLines/>
              <w:spacing w:before="40" w:after="40"/>
              <w:jc w:val="right"/>
            </w:pPr>
            <w:r>
              <w:rPr>
                <w:color w:val="000000"/>
              </w:rPr>
              <w:t>736.5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732.9</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608.9</w:t>
            </w:r>
          </w:p>
        </w:tc>
        <w:tc>
          <w:tcPr>
            <w:tcW w:w="77" w:type="dxa"/>
            <w:tcMar>
              <w:left w:w="0" w:type="dxa"/>
              <w:right w:w="0" w:type="dxa"/>
            </w:tcMar>
          </w:tcPr>
          <w:p w:rsidR="002E3B31" w:rsidRDefault="002E3B31"/>
        </w:tc>
      </w:tr>
      <w:tr w:rsidR="002E3B31">
        <w:trPr>
          <w:trHeight w:hRule="exact" w:val="300"/>
          <w:jc w:val="center"/>
        </w:trPr>
        <w:tc>
          <w:tcPr>
            <w:tcW w:w="5200" w:type="dxa"/>
            <w:gridSpan w:val="10"/>
            <w:tcMar>
              <w:left w:w="60" w:type="dxa"/>
              <w:right w:w="40" w:type="dxa"/>
            </w:tcMar>
            <w:vAlign w:val="bottom"/>
          </w:tcPr>
          <w:p w:rsidR="002E3B31" w:rsidRDefault="007C6E2D">
            <w:pPr>
              <w:keepNext/>
              <w:keepLines/>
              <w:spacing w:before="40" w:after="40"/>
            </w:pPr>
            <w:r>
              <w:rPr>
                <w:color w:val="000000"/>
              </w:rPr>
              <w:t>Total assets</w:t>
            </w:r>
          </w:p>
        </w:tc>
        <w:tc>
          <w:tcPr>
            <w:tcW w:w="80" w:type="dxa"/>
            <w:tcMar>
              <w:left w:w="60" w:type="dxa"/>
              <w:right w:w="0" w:type="dxa"/>
            </w:tcMar>
            <w:vAlign w:val="bottom"/>
          </w:tcPr>
          <w:p w:rsidR="002E3B31" w:rsidRDefault="002E3B31">
            <w:pPr>
              <w:keepNext/>
              <w:keepLines/>
              <w:spacing w:before="40" w:after="40"/>
            </w:pPr>
          </w:p>
        </w:tc>
        <w:tc>
          <w:tcPr>
            <w:tcW w:w="1363" w:type="dxa"/>
            <w:gridSpan w:val="2"/>
            <w:tcMar>
              <w:left w:w="0" w:type="dxa"/>
              <w:right w:w="0" w:type="dxa"/>
            </w:tcMar>
            <w:vAlign w:val="bottom"/>
          </w:tcPr>
          <w:p w:rsidR="002E3B31" w:rsidRDefault="007C6E2D">
            <w:pPr>
              <w:keepNext/>
              <w:keepLines/>
              <w:spacing w:before="40" w:after="40"/>
              <w:jc w:val="right"/>
            </w:pPr>
            <w:r>
              <w:rPr>
                <w:color w:val="000000"/>
              </w:rPr>
              <w:t>1,366.5</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1,338.8</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1,116.7</w:t>
            </w:r>
          </w:p>
        </w:tc>
        <w:tc>
          <w:tcPr>
            <w:tcW w:w="77" w:type="dxa"/>
            <w:tcMar>
              <w:left w:w="0" w:type="dxa"/>
              <w:right w:w="0" w:type="dxa"/>
            </w:tcMar>
          </w:tcPr>
          <w:p w:rsidR="002E3B31" w:rsidRDefault="002E3B31"/>
        </w:tc>
      </w:tr>
      <w:tr w:rsidR="002E3B31">
        <w:trPr>
          <w:trHeight w:hRule="exact" w:val="300"/>
          <w:jc w:val="center"/>
        </w:trPr>
        <w:tc>
          <w:tcPr>
            <w:tcW w:w="5200" w:type="dxa"/>
            <w:gridSpan w:val="10"/>
            <w:tcMar>
              <w:left w:w="60" w:type="dxa"/>
              <w:right w:w="40" w:type="dxa"/>
            </w:tcMar>
            <w:vAlign w:val="bottom"/>
          </w:tcPr>
          <w:p w:rsidR="002E3B31" w:rsidRDefault="007C6E2D">
            <w:pPr>
              <w:keepNext/>
              <w:keepLines/>
              <w:spacing w:before="40" w:after="40"/>
            </w:pPr>
            <w:r>
              <w:rPr>
                <w:color w:val="000000"/>
              </w:rPr>
              <w:t>Total related party debt</w:t>
            </w:r>
          </w:p>
        </w:tc>
        <w:tc>
          <w:tcPr>
            <w:tcW w:w="80" w:type="dxa"/>
            <w:tcMar>
              <w:left w:w="60" w:type="dxa"/>
              <w:right w:w="0" w:type="dxa"/>
            </w:tcMar>
            <w:vAlign w:val="bottom"/>
          </w:tcPr>
          <w:p w:rsidR="002E3B31" w:rsidRDefault="002E3B31">
            <w:pPr>
              <w:keepNext/>
              <w:keepLines/>
              <w:spacing w:before="40" w:after="40"/>
            </w:pPr>
          </w:p>
        </w:tc>
        <w:tc>
          <w:tcPr>
            <w:tcW w:w="1363" w:type="dxa"/>
            <w:gridSpan w:val="2"/>
            <w:tcMar>
              <w:left w:w="0" w:type="dxa"/>
              <w:right w:w="0" w:type="dxa"/>
            </w:tcMar>
            <w:vAlign w:val="bottom"/>
          </w:tcPr>
          <w:p w:rsidR="002E3B31" w:rsidRDefault="007C6E2D">
            <w:pPr>
              <w:keepNext/>
              <w:keepLines/>
              <w:spacing w:before="40" w:after="40"/>
              <w:jc w:val="right"/>
            </w:pPr>
            <w:r>
              <w:rPr>
                <w:color w:val="000000"/>
              </w:rPr>
              <w:t>1,844.0</w:t>
            </w:r>
          </w:p>
        </w:tc>
        <w:tc>
          <w:tcPr>
            <w:tcW w:w="77" w:type="dxa"/>
            <w:tcMar>
              <w:left w:w="0" w:type="dxa"/>
              <w:right w:w="0" w:type="dxa"/>
            </w:tcMar>
          </w:tcPr>
          <w:p w:rsidR="002E3B31" w:rsidRDefault="002E3B31"/>
        </w:tc>
        <w:tc>
          <w:tcPr>
            <w:tcW w:w="80" w:type="dxa"/>
            <w:tcMar>
              <w:left w:w="60" w:type="dxa"/>
              <w:right w:w="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1,000.6</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Next/>
              <w:keepLines/>
              <w:spacing w:before="40" w:after="40"/>
            </w:pPr>
          </w:p>
        </w:tc>
        <w:tc>
          <w:tcPr>
            <w:tcW w:w="1603" w:type="dxa"/>
            <w:gridSpan w:val="2"/>
            <w:tcMar>
              <w:left w:w="0" w:type="dxa"/>
              <w:right w:w="0" w:type="dxa"/>
            </w:tcMar>
            <w:vAlign w:val="bottom"/>
          </w:tcPr>
          <w:p w:rsidR="002E3B31" w:rsidRDefault="007C6E2D">
            <w:pPr>
              <w:keepNext/>
              <w:keepLines/>
              <w:spacing w:before="40" w:after="40"/>
              <w:jc w:val="right"/>
            </w:pPr>
            <w:r>
              <w:rPr>
                <w:color w:val="000000"/>
              </w:rPr>
              <w:t>1,000.6</w:t>
            </w:r>
          </w:p>
        </w:tc>
        <w:tc>
          <w:tcPr>
            <w:tcW w:w="77" w:type="dxa"/>
            <w:tcMar>
              <w:left w:w="0" w:type="dxa"/>
              <w:right w:w="0" w:type="dxa"/>
            </w:tcMar>
          </w:tcPr>
          <w:p w:rsidR="002E3B31" w:rsidRDefault="002E3B31"/>
        </w:tc>
      </w:tr>
      <w:tr w:rsidR="002E3B31">
        <w:trPr>
          <w:trHeight w:hRule="exact" w:val="300"/>
          <w:jc w:val="center"/>
        </w:trPr>
        <w:tc>
          <w:tcPr>
            <w:tcW w:w="5200" w:type="dxa"/>
            <w:gridSpan w:val="10"/>
            <w:tcMar>
              <w:left w:w="60" w:type="dxa"/>
              <w:right w:w="40" w:type="dxa"/>
            </w:tcMar>
            <w:vAlign w:val="bottom"/>
          </w:tcPr>
          <w:p w:rsidR="002E3B31" w:rsidRDefault="007C6E2D">
            <w:pPr>
              <w:keepLines/>
              <w:spacing w:before="40" w:after="40"/>
            </w:pPr>
            <w:r>
              <w:rPr>
                <w:color w:val="000000"/>
              </w:rPr>
              <w:t>Total (deficit) equity</w:t>
            </w:r>
          </w:p>
        </w:tc>
        <w:tc>
          <w:tcPr>
            <w:tcW w:w="80" w:type="dxa"/>
            <w:tcMar>
              <w:left w:w="60" w:type="dxa"/>
              <w:right w:w="0" w:type="dxa"/>
            </w:tcMar>
            <w:vAlign w:val="bottom"/>
          </w:tcPr>
          <w:p w:rsidR="002E3B31" w:rsidRDefault="002E3B31">
            <w:pPr>
              <w:keepLines/>
              <w:spacing w:before="40" w:after="40"/>
            </w:pPr>
          </w:p>
        </w:tc>
        <w:tc>
          <w:tcPr>
            <w:tcW w:w="1363" w:type="dxa"/>
            <w:gridSpan w:val="2"/>
            <w:tcMar>
              <w:left w:w="0" w:type="dxa"/>
              <w:right w:w="0" w:type="dxa"/>
            </w:tcMar>
            <w:vAlign w:val="bottom"/>
          </w:tcPr>
          <w:p w:rsidR="002E3B31" w:rsidRDefault="007C6E2D">
            <w:pPr>
              <w:keepLines/>
              <w:spacing w:before="40" w:after="40"/>
              <w:jc w:val="right"/>
            </w:pPr>
            <w:r>
              <w:rPr>
                <w:color w:val="000000"/>
              </w:rPr>
              <w:t>(565.9</w:t>
            </w:r>
          </w:p>
        </w:tc>
        <w:tc>
          <w:tcPr>
            <w:tcW w:w="77" w:type="dxa"/>
            <w:tcMar>
              <w:left w:w="0" w:type="dxa"/>
              <w:right w:w="0" w:type="dxa"/>
            </w:tcMar>
            <w:vAlign w:val="bottom"/>
          </w:tcPr>
          <w:p w:rsidR="002E3B31" w:rsidRDefault="007C6E2D">
            <w:pPr>
              <w:keepLines/>
              <w:spacing w:before="40" w:after="40"/>
            </w:pPr>
            <w:r>
              <w:rPr>
                <w:color w:val="000000"/>
              </w:rPr>
              <w:t>)</w:t>
            </w:r>
          </w:p>
        </w:tc>
        <w:tc>
          <w:tcPr>
            <w:tcW w:w="80" w:type="dxa"/>
            <w:tcMar>
              <w:left w:w="60" w:type="dxa"/>
              <w:right w:w="0" w:type="dxa"/>
            </w:tcMar>
            <w:vAlign w:val="bottom"/>
          </w:tcPr>
          <w:p w:rsidR="002E3B31" w:rsidRDefault="002E3B31">
            <w:pPr>
              <w:keepLines/>
              <w:spacing w:before="40" w:after="40"/>
            </w:pPr>
          </w:p>
        </w:tc>
        <w:tc>
          <w:tcPr>
            <w:tcW w:w="1603" w:type="dxa"/>
            <w:gridSpan w:val="2"/>
            <w:tcMar>
              <w:left w:w="0" w:type="dxa"/>
              <w:right w:w="0" w:type="dxa"/>
            </w:tcMar>
            <w:vAlign w:val="bottom"/>
          </w:tcPr>
          <w:p w:rsidR="002E3B31" w:rsidRDefault="007C6E2D">
            <w:pPr>
              <w:keepLines/>
              <w:spacing w:before="40" w:after="40"/>
              <w:jc w:val="right"/>
            </w:pPr>
            <w:r>
              <w:rPr>
                <w:color w:val="000000"/>
              </w:rPr>
              <w:t>229.4</w:t>
            </w:r>
          </w:p>
        </w:tc>
        <w:tc>
          <w:tcPr>
            <w:tcW w:w="77" w:type="dxa"/>
            <w:tcMar>
              <w:left w:w="0" w:type="dxa"/>
              <w:right w:w="0" w:type="dxa"/>
            </w:tcMar>
          </w:tcPr>
          <w:p w:rsidR="002E3B31" w:rsidRDefault="002E3B31"/>
        </w:tc>
        <w:tc>
          <w:tcPr>
            <w:tcW w:w="80" w:type="dxa"/>
            <w:tcMar>
              <w:left w:w="0" w:type="dxa"/>
              <w:right w:w="60" w:type="dxa"/>
            </w:tcMar>
            <w:vAlign w:val="bottom"/>
          </w:tcPr>
          <w:p w:rsidR="002E3B31" w:rsidRDefault="002E3B31">
            <w:pPr>
              <w:keepLines/>
              <w:spacing w:before="40" w:after="40"/>
            </w:pPr>
          </w:p>
        </w:tc>
        <w:tc>
          <w:tcPr>
            <w:tcW w:w="1603" w:type="dxa"/>
            <w:gridSpan w:val="2"/>
            <w:tcMar>
              <w:left w:w="0" w:type="dxa"/>
              <w:right w:w="0" w:type="dxa"/>
            </w:tcMar>
            <w:vAlign w:val="bottom"/>
          </w:tcPr>
          <w:p w:rsidR="002E3B31" w:rsidRDefault="007C6E2D">
            <w:pPr>
              <w:keepLines/>
              <w:spacing w:before="40" w:after="40"/>
              <w:jc w:val="right"/>
            </w:pPr>
            <w:r>
              <w:rPr>
                <w:color w:val="000000"/>
              </w:rPr>
              <w:t>24.2</w:t>
            </w:r>
          </w:p>
        </w:tc>
        <w:tc>
          <w:tcPr>
            <w:tcW w:w="77" w:type="dxa"/>
            <w:tcMar>
              <w:left w:w="0" w:type="dxa"/>
              <w:right w:w="0" w:type="dxa"/>
            </w:tcMar>
          </w:tcPr>
          <w:p w:rsidR="002E3B31" w:rsidRDefault="002E3B31"/>
        </w:tc>
      </w:tr>
    </w:tbl>
    <w:p w:rsidR="002E3B31" w:rsidRDefault="007C6E2D">
      <w:pPr>
        <w:spacing w:before="60" w:line="288" w:lineRule="auto"/>
        <w:rPr>
          <w:vertAlign w:val="superscript"/>
        </w:rPr>
      </w:pPr>
      <w:r>
        <w:rPr>
          <w:vertAlign w:val="superscript"/>
        </w:rPr>
        <w:t>(1)</w:t>
      </w:r>
      <w:r>
        <w:rPr>
          <w:i/>
        </w:rPr>
        <w:t xml:space="preserve"> Prior quarter financial information has been retrospectively adjusted for the acquisition completed in December 2017.</w:t>
      </w:r>
    </w:p>
    <w:p w:rsidR="002E3B31" w:rsidRDefault="007C6E2D">
      <w:pPr>
        <w:spacing w:line="288" w:lineRule="auto"/>
        <w:rPr>
          <w:vertAlign w:val="superscript"/>
        </w:rPr>
      </w:pPr>
      <w:r>
        <w:rPr>
          <w:vertAlign w:val="superscript"/>
        </w:rPr>
        <w:t>(2)</w:t>
      </w:r>
      <w:r>
        <w:rPr>
          <w:i/>
        </w:rPr>
        <w:t xml:space="preserve"> As previously reported in our Quarterly Report on Form 10-Q for the period ended September 30, 2017.</w:t>
      </w: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line="288" w:lineRule="auto"/>
        <w:rPr>
          <w:i/>
        </w:rPr>
      </w:pPr>
    </w:p>
    <w:p w:rsidR="002E3B31" w:rsidRDefault="002E3B31">
      <w:pPr>
        <w:spacing w:after="140"/>
        <w:rPr>
          <w:i/>
        </w:rPr>
      </w:pPr>
    </w:p>
    <w:tbl>
      <w:tblPr>
        <w:tblW w:w="10500" w:type="dxa"/>
        <w:jc w:val="center"/>
        <w:tblLayout w:type="fixed"/>
        <w:tblCellMar>
          <w:left w:w="10" w:type="dxa"/>
          <w:right w:w="10" w:type="dxa"/>
        </w:tblCellMar>
        <w:tblLook w:val="04A0" w:firstRow="1" w:lastRow="0" w:firstColumn="1" w:lastColumn="0" w:noHBand="0" w:noVBand="1"/>
      </w:tblPr>
      <w:tblGrid>
        <w:gridCol w:w="1"/>
        <w:gridCol w:w="1"/>
        <w:gridCol w:w="1"/>
        <w:gridCol w:w="1"/>
        <w:gridCol w:w="1"/>
        <w:gridCol w:w="1"/>
        <w:gridCol w:w="1"/>
        <w:gridCol w:w="1"/>
        <w:gridCol w:w="6592"/>
        <w:gridCol w:w="280"/>
        <w:gridCol w:w="1"/>
        <w:gridCol w:w="1"/>
        <w:gridCol w:w="1"/>
        <w:gridCol w:w="1"/>
        <w:gridCol w:w="1"/>
        <w:gridCol w:w="1"/>
        <w:gridCol w:w="104"/>
        <w:gridCol w:w="1473"/>
        <w:gridCol w:w="77"/>
        <w:gridCol w:w="260"/>
        <w:gridCol w:w="1"/>
        <w:gridCol w:w="1"/>
        <w:gridCol w:w="108"/>
        <w:gridCol w:w="1513"/>
        <w:gridCol w:w="77"/>
      </w:tblGrid>
      <w:tr w:rsidR="002E3B31">
        <w:trPr>
          <w:trHeight w:hRule="exact" w:val="580"/>
          <w:jc w:val="center"/>
        </w:trPr>
        <w:tc>
          <w:tcPr>
            <w:tcW w:w="10500" w:type="dxa"/>
            <w:hMerge w:val="restart"/>
            <w:tcMar>
              <w:left w:w="60" w:type="dxa"/>
              <w:right w:w="40" w:type="dxa"/>
            </w:tcMar>
            <w:vAlign w:val="bottom"/>
          </w:tcPr>
          <w:p w:rsidR="002E3B31" w:rsidRDefault="007C6E2D">
            <w:pPr>
              <w:keepNext/>
              <w:keepLines/>
              <w:spacing w:before="40" w:after="40"/>
              <w:rPr>
                <w:b/>
                <w:sz w:val="22"/>
              </w:rPr>
            </w:pPr>
            <w:r>
              <w:rPr>
                <w:b/>
                <w:sz w:val="22"/>
              </w:rPr>
              <w:t>Pipeline and Terminal Volumes and Revenue per Barrel</w:t>
            </w:r>
          </w:p>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hMerge/>
            <w:tcMar>
              <w:left w:w="0" w:type="dxa"/>
              <w:right w:w="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17"/>
            <w:hMerge/>
            <w:tcMar>
              <w:left w:w="0" w:type="dxa"/>
              <w:right w:w="0" w:type="dxa"/>
            </w:tcMar>
          </w:tcPr>
          <w:p w:rsidR="002E3B31" w:rsidRDefault="002E3B31"/>
        </w:tc>
      </w:tr>
      <w:tr w:rsidR="002E3B31">
        <w:trPr>
          <w:trHeight w:hRule="exact" w:val="300"/>
          <w:jc w:val="center"/>
        </w:trPr>
        <w:tc>
          <w:tcPr>
            <w:tcW w:w="6600" w:type="dxa"/>
            <w:gridSpan w:val="9"/>
            <w:tcMar>
              <w:left w:w="60" w:type="dxa"/>
              <w:right w:w="0" w:type="dxa"/>
            </w:tcMar>
            <w:vAlign w:val="bottom"/>
          </w:tcPr>
          <w:p w:rsidR="002E3B31" w:rsidRDefault="002E3B31">
            <w:pPr>
              <w:keepNext/>
              <w:keepLines/>
              <w:spacing w:before="40" w:after="40"/>
            </w:pPr>
          </w:p>
        </w:tc>
        <w:tc>
          <w:tcPr>
            <w:tcW w:w="2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60" w:type="dxa"/>
            </w:tcMar>
            <w:vAlign w:val="bottom"/>
          </w:tcPr>
          <w:p w:rsidR="002E3B31" w:rsidRDefault="007C6E2D">
            <w:pPr>
              <w:keepNext/>
              <w:keepLines/>
              <w:spacing w:before="40" w:after="40"/>
              <w:jc w:val="center"/>
              <w:rPr>
                <w:b/>
                <w:sz w:val="16"/>
              </w:rPr>
            </w:pPr>
            <w:r>
              <w:rPr>
                <w:b/>
                <w:color w:val="000000"/>
                <w:sz w:val="16"/>
              </w:rPr>
              <w:t>For the Three Months Ended</w:t>
            </w:r>
          </w:p>
        </w:tc>
        <w:tc>
          <w:tcPr>
            <w:tcW w:w="0" w:type="auto"/>
            <w:hMerge/>
            <w:tcMar>
              <w:left w:w="60" w:type="dxa"/>
              <w:right w:w="60" w:type="dxa"/>
            </w:tcMar>
          </w:tcPr>
          <w:p w:rsidR="002E3B31" w:rsidRDefault="007C6E2D">
            <w:pPr>
              <w:keepNext/>
              <w:keepLines/>
              <w:spacing w:before="40" w:after="40"/>
              <w:jc w:val="center"/>
              <w:rPr>
                <w:b/>
                <w:sz w:val="16"/>
              </w:rPr>
            </w:pPr>
            <w:r>
              <w:rPr>
                <w:b/>
                <w:color w:val="000000"/>
                <w:sz w:val="16"/>
              </w:rPr>
              <w:t>For the Three Months Ended</w:t>
            </w:r>
          </w:p>
        </w:tc>
        <w:tc>
          <w:tcPr>
            <w:tcW w:w="0" w:type="auto"/>
            <w:hMerge/>
            <w:tcMar>
              <w:left w:w="0" w:type="dxa"/>
              <w:right w:w="60" w:type="dxa"/>
            </w:tcMar>
          </w:tcPr>
          <w:p w:rsidR="002E3B31" w:rsidRDefault="002E3B31"/>
        </w:tc>
        <w:tc>
          <w:tcPr>
            <w:tcW w:w="0" w:type="dxa"/>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9"/>
            <w:hMerge/>
            <w:tcMar>
              <w:left w:w="0" w:type="dxa"/>
              <w:right w:w="0" w:type="dxa"/>
            </w:tcMar>
          </w:tcPr>
          <w:p w:rsidR="002E3B31" w:rsidRDefault="002E3B31"/>
        </w:tc>
      </w:tr>
      <w:tr w:rsidR="002E3B31">
        <w:trPr>
          <w:trHeight w:hRule="exact" w:val="400"/>
          <w:jc w:val="center"/>
        </w:trPr>
        <w:tc>
          <w:tcPr>
            <w:tcW w:w="6600" w:type="dxa"/>
            <w:gridSpan w:val="9"/>
            <w:tcMar>
              <w:left w:w="60" w:type="dxa"/>
              <w:right w:w="0" w:type="dxa"/>
            </w:tcMar>
            <w:vAlign w:val="bottom"/>
          </w:tcPr>
          <w:p w:rsidR="002E3B31" w:rsidRDefault="002E3B31">
            <w:pPr>
              <w:keepNext/>
              <w:keepLines/>
              <w:spacing w:before="40" w:after="40"/>
            </w:pPr>
          </w:p>
        </w:tc>
        <w:tc>
          <w:tcPr>
            <w:tcW w:w="280" w:type="dxa"/>
            <w:tcMar>
              <w:left w:w="6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December 31, 2017</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color w:val="000000"/>
                <w:sz w:val="16"/>
              </w:rPr>
              <w:t>December 31, 2017</w:t>
            </w:r>
          </w:p>
        </w:tc>
        <w:tc>
          <w:tcPr>
            <w:tcW w:w="0" w:type="auto"/>
            <w:gridSpan w:val="7"/>
            <w:hMerge/>
            <w:tcBorders>
              <w:top w:val="single" w:sz="8" w:space="0" w:color="auto"/>
              <w:bottom w:val="single" w:sz="8" w:space="0" w:color="auto"/>
            </w:tcBorders>
            <w:tcMar>
              <w:left w:w="0" w:type="dxa"/>
              <w:right w:w="60" w:type="dxa"/>
            </w:tcMar>
          </w:tcPr>
          <w:p w:rsidR="002E3B31" w:rsidRDefault="002E3B31"/>
        </w:tc>
        <w:tc>
          <w:tcPr>
            <w:tcW w:w="260" w:type="dxa"/>
            <w:tcBorders>
              <w:top w:val="single" w:sz="8" w:space="0" w:color="auto"/>
            </w:tcBorders>
            <w:tcMar>
              <w:left w:w="60" w:type="dxa"/>
              <w:right w:w="0" w:type="dxa"/>
            </w:tcMar>
            <w:vAlign w:val="bottom"/>
          </w:tcPr>
          <w:p w:rsidR="002E3B31" w:rsidRDefault="002E3B31">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2E3B31" w:rsidRDefault="007C6E2D">
            <w:pPr>
              <w:keepNext/>
              <w:keepLines/>
              <w:spacing w:before="40" w:after="40"/>
              <w:jc w:val="center"/>
              <w:rPr>
                <w:b/>
                <w:sz w:val="16"/>
              </w:rPr>
            </w:pPr>
            <w:r>
              <w:rPr>
                <w:b/>
                <w:color w:val="000000"/>
                <w:sz w:val="16"/>
              </w:rPr>
              <w:t>September 30, 2017</w:t>
            </w:r>
          </w:p>
        </w:tc>
        <w:tc>
          <w:tcPr>
            <w:tcW w:w="0" w:type="auto"/>
            <w:hMerge/>
            <w:tcBorders>
              <w:top w:val="single" w:sz="8" w:space="0" w:color="auto"/>
              <w:bottom w:val="single" w:sz="8" w:space="0" w:color="auto"/>
            </w:tcBorders>
            <w:tcMar>
              <w:left w:w="60" w:type="dxa"/>
              <w:right w:w="60" w:type="dxa"/>
            </w:tcMar>
          </w:tcPr>
          <w:p w:rsidR="002E3B31" w:rsidRDefault="007C6E2D">
            <w:pPr>
              <w:keepNext/>
              <w:keepLines/>
              <w:spacing w:before="40" w:after="40"/>
              <w:jc w:val="center"/>
              <w:rPr>
                <w:b/>
                <w:sz w:val="16"/>
              </w:rPr>
            </w:pPr>
            <w:r>
              <w:rPr>
                <w:b/>
                <w:color w:val="000000"/>
                <w:sz w:val="16"/>
              </w:rPr>
              <w:t>September 30, 2017</w:t>
            </w:r>
          </w:p>
        </w:tc>
        <w:tc>
          <w:tcPr>
            <w:tcW w:w="0" w:type="auto"/>
            <w:gridSpan w:val="3"/>
            <w:hMerge/>
            <w:tcBorders>
              <w:top w:val="single" w:sz="8" w:space="0" w:color="auto"/>
              <w:bottom w:val="single" w:sz="8" w:space="0" w:color="auto"/>
            </w:tcBorders>
            <w:tcMar>
              <w:left w:w="0" w:type="dxa"/>
              <w:right w:w="6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Pipeline throughput (thousands of barrels per day) </w:t>
            </w:r>
            <w:r>
              <w:rPr>
                <w:vertAlign w:val="superscript"/>
              </w:rPr>
              <w:t>(1)(5)</w:t>
            </w:r>
          </w:p>
        </w:tc>
        <w:tc>
          <w:tcPr>
            <w:tcW w:w="2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Zydeco - mainlines</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649</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649</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616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616</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Zydeco - Other segments</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258</w:t>
            </w:r>
          </w:p>
        </w:tc>
        <w:tc>
          <w:tcPr>
            <w:tcW w:w="0" w:type="auto"/>
            <w:gridSpan w:val="7"/>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258</w:t>
            </w:r>
          </w:p>
        </w:tc>
        <w:tc>
          <w:tcPr>
            <w:tcW w:w="77" w:type="dxa"/>
            <w:tcBorders>
              <w:bottom w:val="single" w:sz="8" w:space="0" w:color="auto"/>
            </w:tcBorders>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253</w:t>
            </w:r>
          </w:p>
        </w:tc>
        <w:tc>
          <w:tcPr>
            <w:tcW w:w="0" w:type="auto"/>
            <w:gridSpan w:val="3"/>
            <w:hMerge/>
            <w:tcBorders>
              <w:bottom w:val="single" w:sz="8" w:space="0" w:color="auto"/>
            </w:tcBorders>
            <w:tcMar>
              <w:left w:w="0" w:type="dxa"/>
              <w:right w:w="0" w:type="dxa"/>
            </w:tcMar>
            <w:vAlign w:val="bottom"/>
          </w:tcPr>
          <w:p w:rsidR="002E3B31" w:rsidRDefault="007C6E2D">
            <w:pPr>
              <w:keepNext/>
              <w:keepLines/>
              <w:spacing w:before="40" w:after="40"/>
              <w:jc w:val="right"/>
            </w:pPr>
            <w:r>
              <w:rPr>
                <w:color w:val="000000"/>
              </w:rPr>
              <w:t>253</w:t>
            </w:r>
          </w:p>
        </w:tc>
        <w:tc>
          <w:tcPr>
            <w:tcW w:w="77" w:type="dxa"/>
            <w:tcBorders>
              <w:bottom w:val="single" w:sz="8" w:space="0" w:color="auto"/>
            </w:tcBorders>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Zydeco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907</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907</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869</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869</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Mars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449</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449</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480</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480</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Bengal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556</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556</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583</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583</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Poseidon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240</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240</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257</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257</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Auger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26</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26</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78</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78</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Delta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188</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188</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234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234</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Na Kika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32</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32</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40</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40</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Odyssey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98</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98</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135</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135</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LOCAP total system</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1,271</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1,271</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1,317</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1,317</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Other systems</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330</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330</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314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314</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0" w:type="dxa"/>
            </w:tcMar>
            <w:vAlign w:val="bottom"/>
          </w:tcPr>
          <w:p w:rsidR="002E3B31" w:rsidRDefault="002E3B31">
            <w:pPr>
              <w:keepNext/>
              <w:keepLines/>
              <w:spacing w:before="40" w:after="40"/>
            </w:pPr>
          </w:p>
        </w:tc>
        <w:tc>
          <w:tcPr>
            <w:tcW w:w="2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Terminals </w:t>
            </w:r>
            <w:r>
              <w:rPr>
                <w:vertAlign w:val="superscript"/>
              </w:rPr>
              <w:t>(2)</w:t>
            </w:r>
          </w:p>
        </w:tc>
        <w:tc>
          <w:tcPr>
            <w:tcW w:w="2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Lockport terminaling throughput and storage volumes</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185</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185</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136</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136</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0" w:type="dxa"/>
            </w:tcMar>
            <w:vAlign w:val="bottom"/>
          </w:tcPr>
          <w:p w:rsidR="002E3B31" w:rsidRDefault="002E3B31">
            <w:pPr>
              <w:keepNext/>
              <w:keepLines/>
              <w:spacing w:before="40" w:after="40"/>
            </w:pPr>
          </w:p>
        </w:tc>
        <w:tc>
          <w:tcPr>
            <w:tcW w:w="2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rPr>
                <w:color w:val="000000"/>
              </w:rPr>
              <w:t>Revenue per barrel ($ per barrel)</w:t>
            </w:r>
          </w:p>
        </w:tc>
        <w:tc>
          <w:tcPr>
            <w:tcW w:w="28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7"/>
            <w:hMerge/>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0" w:type="dxa"/>
            <w:hMerge w:val="restart"/>
            <w:tcMar>
              <w:left w:w="60" w:type="dxa"/>
              <w:right w:w="0" w:type="dxa"/>
            </w:tcMar>
            <w:vAlign w:val="bottom"/>
          </w:tcPr>
          <w:p w:rsidR="002E3B31" w:rsidRDefault="002E3B31">
            <w:pPr>
              <w:keepNext/>
              <w:keepLines/>
              <w:spacing w:before="40" w:after="40"/>
            </w:pPr>
          </w:p>
        </w:tc>
        <w:tc>
          <w:tcPr>
            <w:tcW w:w="0" w:type="auto"/>
            <w:hMerge/>
            <w:tcMar>
              <w:left w:w="60" w:type="dxa"/>
              <w:right w:w="0" w:type="dxa"/>
            </w:tcMar>
          </w:tcPr>
          <w:p w:rsidR="002E3B31" w:rsidRDefault="002E3B31">
            <w:pPr>
              <w:keepNext/>
              <w:keepLines/>
              <w:spacing w:before="40" w:after="40"/>
            </w:pPr>
          </w:p>
        </w:tc>
        <w:tc>
          <w:tcPr>
            <w:tcW w:w="0" w:type="auto"/>
            <w:gridSpan w:val="3"/>
            <w:hMerge/>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Zydeco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10" w:type="dxa"/>
            <w:gridSpan w:val="7"/>
            <w:tcMar>
              <w:left w:w="0" w:type="dxa"/>
              <w:right w:w="0" w:type="dxa"/>
            </w:tcMar>
            <w:vAlign w:val="bottom"/>
          </w:tcPr>
          <w:p w:rsidR="002E3B31" w:rsidRDefault="007C6E2D">
            <w:pPr>
              <w:keepNext/>
              <w:keepLines/>
              <w:spacing w:before="40" w:after="40"/>
            </w:pPr>
            <w:r>
              <w:rPr>
                <w:color w:val="000000"/>
              </w:rPr>
              <w:t>$</w:t>
            </w:r>
          </w:p>
        </w:tc>
        <w:tc>
          <w:tcPr>
            <w:tcW w:w="1473" w:type="dxa"/>
            <w:tcMar>
              <w:left w:w="0" w:type="dxa"/>
              <w:right w:w="0" w:type="dxa"/>
            </w:tcMar>
            <w:vAlign w:val="bottom"/>
          </w:tcPr>
          <w:p w:rsidR="002E3B31" w:rsidRDefault="007C6E2D">
            <w:pPr>
              <w:keepNext/>
              <w:keepLines/>
              <w:spacing w:before="40" w:after="40"/>
              <w:jc w:val="right"/>
            </w:pPr>
            <w:r>
              <w:rPr>
                <w:color w:val="000000"/>
              </w:rPr>
              <w:t>0.78</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10" w:type="dxa"/>
            <w:gridSpan w:val="3"/>
            <w:tcMar>
              <w:left w:w="0" w:type="dxa"/>
              <w:right w:w="0" w:type="dxa"/>
            </w:tcMar>
            <w:vAlign w:val="bottom"/>
          </w:tcPr>
          <w:p w:rsidR="002E3B31" w:rsidRDefault="007C6E2D">
            <w:pPr>
              <w:keepNext/>
              <w:keepLines/>
              <w:spacing w:before="40" w:after="40"/>
            </w:pPr>
            <w:r>
              <w:rPr>
                <w:color w:val="000000"/>
              </w:rPr>
              <w:t>$</w:t>
            </w:r>
          </w:p>
        </w:tc>
        <w:tc>
          <w:tcPr>
            <w:tcW w:w="1513" w:type="dxa"/>
            <w:tcMar>
              <w:left w:w="0" w:type="dxa"/>
              <w:right w:w="0" w:type="dxa"/>
            </w:tcMar>
            <w:vAlign w:val="bottom"/>
          </w:tcPr>
          <w:p w:rsidR="002E3B31" w:rsidRDefault="007C6E2D">
            <w:pPr>
              <w:keepNext/>
              <w:keepLines/>
              <w:spacing w:before="40" w:after="40"/>
              <w:jc w:val="right"/>
            </w:pPr>
            <w:r>
              <w:rPr>
                <w:color w:val="000000"/>
              </w:rPr>
              <w:t>0.69</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Mars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1.40</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1.40</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1.43</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1.43</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Bengal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0.35</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0.35</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0.34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0.34</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Auger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1.16</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1.16</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1.14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1.14</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Delta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0.57</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0.57</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0.54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0.54</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Na Kika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0.73</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0.73</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0.74</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0.74</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Next/>
              <w:keepLines/>
              <w:spacing w:before="40" w:after="40"/>
            </w:pPr>
            <w:r>
              <w:t xml:space="preserve">Odyssey total system </w:t>
            </w:r>
            <w:r>
              <w:rPr>
                <w:vertAlign w:val="superscript"/>
              </w:rPr>
              <w:t>(3)</w:t>
            </w:r>
          </w:p>
        </w:tc>
        <w:tc>
          <w:tcPr>
            <w:tcW w:w="280" w:type="dxa"/>
            <w:tcMar>
              <w:left w:w="60" w:type="dxa"/>
              <w:right w:w="0" w:type="dxa"/>
            </w:tcMar>
            <w:vAlign w:val="bottom"/>
          </w:tcPr>
          <w:p w:rsidR="002E3B31" w:rsidRDefault="002E3B31">
            <w:pPr>
              <w:keepNext/>
              <w:keepLines/>
              <w:spacing w:before="40" w:after="40"/>
            </w:pPr>
          </w:p>
        </w:tc>
        <w:tc>
          <w:tcPr>
            <w:tcW w:w="1583" w:type="dxa"/>
            <w:hMerge w:val="restart"/>
            <w:tcMar>
              <w:left w:w="0" w:type="dxa"/>
              <w:right w:w="0" w:type="dxa"/>
            </w:tcMar>
            <w:vAlign w:val="bottom"/>
          </w:tcPr>
          <w:p w:rsidR="002E3B31" w:rsidRDefault="007C6E2D">
            <w:pPr>
              <w:keepNext/>
              <w:keepLines/>
              <w:spacing w:before="40" w:after="40"/>
              <w:jc w:val="right"/>
            </w:pPr>
            <w:r>
              <w:rPr>
                <w:color w:val="000000"/>
              </w:rPr>
              <w:t>0.82</w:t>
            </w:r>
          </w:p>
        </w:tc>
        <w:tc>
          <w:tcPr>
            <w:tcW w:w="0" w:type="auto"/>
            <w:gridSpan w:val="7"/>
            <w:hMerge/>
            <w:tcMar>
              <w:left w:w="0" w:type="dxa"/>
              <w:right w:w="0" w:type="dxa"/>
            </w:tcMar>
            <w:vAlign w:val="bottom"/>
          </w:tcPr>
          <w:p w:rsidR="002E3B31" w:rsidRDefault="007C6E2D">
            <w:pPr>
              <w:keepNext/>
              <w:keepLines/>
              <w:spacing w:before="40" w:after="40"/>
              <w:jc w:val="right"/>
            </w:pPr>
            <w:r>
              <w:rPr>
                <w:color w:val="000000"/>
              </w:rPr>
              <w:t>0.82</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Next/>
              <w:keepLines/>
              <w:spacing w:before="40" w:after="40"/>
            </w:pPr>
          </w:p>
        </w:tc>
        <w:tc>
          <w:tcPr>
            <w:tcW w:w="1623" w:type="dxa"/>
            <w:hMerge w:val="restart"/>
            <w:tcMar>
              <w:left w:w="0" w:type="dxa"/>
              <w:right w:w="0" w:type="dxa"/>
            </w:tcMar>
            <w:vAlign w:val="bottom"/>
          </w:tcPr>
          <w:p w:rsidR="002E3B31" w:rsidRDefault="007C6E2D">
            <w:pPr>
              <w:keepNext/>
              <w:keepLines/>
              <w:spacing w:before="40" w:after="40"/>
              <w:jc w:val="right"/>
            </w:pPr>
            <w:r>
              <w:rPr>
                <w:color w:val="000000"/>
              </w:rPr>
              <w:t>0.89</w:t>
            </w:r>
          </w:p>
        </w:tc>
        <w:tc>
          <w:tcPr>
            <w:tcW w:w="0" w:type="auto"/>
            <w:gridSpan w:val="3"/>
            <w:hMerge/>
            <w:tcMar>
              <w:left w:w="0" w:type="dxa"/>
              <w:right w:w="0" w:type="dxa"/>
            </w:tcMar>
            <w:vAlign w:val="bottom"/>
          </w:tcPr>
          <w:p w:rsidR="002E3B31" w:rsidRDefault="007C6E2D">
            <w:pPr>
              <w:keepNext/>
              <w:keepLines/>
              <w:spacing w:before="40" w:after="40"/>
              <w:jc w:val="right"/>
            </w:pPr>
            <w:r>
              <w:rPr>
                <w:color w:val="000000"/>
              </w:rPr>
              <w:t>0.89</w:t>
            </w:r>
          </w:p>
        </w:tc>
        <w:tc>
          <w:tcPr>
            <w:tcW w:w="77" w:type="dxa"/>
            <w:tcMar>
              <w:left w:w="0" w:type="dxa"/>
              <w:right w:w="0" w:type="dxa"/>
            </w:tcMar>
          </w:tcPr>
          <w:p w:rsidR="002E3B31" w:rsidRDefault="002E3B31"/>
        </w:tc>
      </w:tr>
      <w:tr w:rsidR="002E3B31">
        <w:trPr>
          <w:trHeight w:hRule="exact" w:val="300"/>
          <w:jc w:val="center"/>
        </w:trPr>
        <w:tc>
          <w:tcPr>
            <w:tcW w:w="6600" w:type="dxa"/>
            <w:gridSpan w:val="9"/>
            <w:tcMar>
              <w:left w:w="60" w:type="dxa"/>
              <w:right w:w="40" w:type="dxa"/>
            </w:tcMar>
            <w:vAlign w:val="bottom"/>
          </w:tcPr>
          <w:p w:rsidR="002E3B31" w:rsidRDefault="007C6E2D">
            <w:pPr>
              <w:keepLines/>
              <w:spacing w:before="40" w:after="40"/>
            </w:pPr>
            <w:r>
              <w:t xml:space="preserve">Lockport total system </w:t>
            </w:r>
            <w:r>
              <w:rPr>
                <w:vertAlign w:val="superscript"/>
              </w:rPr>
              <w:t>(4)</w:t>
            </w:r>
          </w:p>
        </w:tc>
        <w:tc>
          <w:tcPr>
            <w:tcW w:w="280" w:type="dxa"/>
            <w:tcMar>
              <w:left w:w="60" w:type="dxa"/>
              <w:right w:w="0" w:type="dxa"/>
            </w:tcMar>
            <w:vAlign w:val="bottom"/>
          </w:tcPr>
          <w:p w:rsidR="002E3B31" w:rsidRDefault="002E3B31">
            <w:pPr>
              <w:keepLines/>
              <w:spacing w:before="40" w:after="40"/>
            </w:pPr>
          </w:p>
        </w:tc>
        <w:tc>
          <w:tcPr>
            <w:tcW w:w="1583" w:type="dxa"/>
            <w:hMerge w:val="restart"/>
            <w:tcMar>
              <w:left w:w="0" w:type="dxa"/>
              <w:right w:w="0" w:type="dxa"/>
            </w:tcMar>
            <w:vAlign w:val="bottom"/>
          </w:tcPr>
          <w:p w:rsidR="002E3B31" w:rsidRDefault="007C6E2D">
            <w:pPr>
              <w:keepLines/>
              <w:spacing w:before="40" w:after="40"/>
              <w:jc w:val="right"/>
            </w:pPr>
            <w:r>
              <w:rPr>
                <w:color w:val="000000"/>
              </w:rPr>
              <w:t>0.25</w:t>
            </w:r>
          </w:p>
        </w:tc>
        <w:tc>
          <w:tcPr>
            <w:tcW w:w="0" w:type="auto"/>
            <w:gridSpan w:val="7"/>
            <w:hMerge/>
            <w:tcMar>
              <w:left w:w="0" w:type="dxa"/>
              <w:right w:w="0" w:type="dxa"/>
            </w:tcMar>
            <w:vAlign w:val="bottom"/>
          </w:tcPr>
          <w:p w:rsidR="002E3B31" w:rsidRDefault="007C6E2D">
            <w:pPr>
              <w:keepLines/>
              <w:spacing w:before="40" w:after="40"/>
              <w:jc w:val="right"/>
            </w:pPr>
            <w:r>
              <w:rPr>
                <w:color w:val="000000"/>
              </w:rPr>
              <w:t>0.25</w:t>
            </w:r>
          </w:p>
        </w:tc>
        <w:tc>
          <w:tcPr>
            <w:tcW w:w="77" w:type="dxa"/>
            <w:tcMar>
              <w:left w:w="0" w:type="dxa"/>
              <w:right w:w="0" w:type="dxa"/>
            </w:tcMar>
          </w:tcPr>
          <w:p w:rsidR="002E3B31" w:rsidRDefault="002E3B31"/>
        </w:tc>
        <w:tc>
          <w:tcPr>
            <w:tcW w:w="260" w:type="dxa"/>
            <w:tcMar>
              <w:left w:w="60" w:type="dxa"/>
              <w:right w:w="0" w:type="dxa"/>
            </w:tcMar>
            <w:vAlign w:val="bottom"/>
          </w:tcPr>
          <w:p w:rsidR="002E3B31" w:rsidRDefault="002E3B31">
            <w:pPr>
              <w:keepLines/>
              <w:spacing w:before="40" w:after="40"/>
            </w:pPr>
          </w:p>
        </w:tc>
        <w:tc>
          <w:tcPr>
            <w:tcW w:w="1623" w:type="dxa"/>
            <w:hMerge w:val="restart"/>
            <w:tcMar>
              <w:left w:w="0" w:type="dxa"/>
              <w:right w:w="0" w:type="dxa"/>
            </w:tcMar>
            <w:vAlign w:val="bottom"/>
          </w:tcPr>
          <w:p w:rsidR="002E3B31" w:rsidRDefault="007C6E2D">
            <w:pPr>
              <w:keepLines/>
              <w:spacing w:before="40" w:after="40"/>
              <w:jc w:val="right"/>
            </w:pPr>
            <w:r>
              <w:rPr>
                <w:color w:val="000000"/>
              </w:rPr>
              <w:t>0.31</w:t>
            </w:r>
          </w:p>
        </w:tc>
        <w:tc>
          <w:tcPr>
            <w:tcW w:w="0" w:type="auto"/>
            <w:gridSpan w:val="3"/>
            <w:hMerge/>
            <w:tcMar>
              <w:left w:w="0" w:type="dxa"/>
              <w:right w:w="0" w:type="dxa"/>
            </w:tcMar>
            <w:vAlign w:val="bottom"/>
          </w:tcPr>
          <w:p w:rsidR="002E3B31" w:rsidRDefault="007C6E2D">
            <w:pPr>
              <w:keepLines/>
              <w:spacing w:before="40" w:after="40"/>
              <w:jc w:val="right"/>
            </w:pPr>
            <w:r>
              <w:rPr>
                <w:color w:val="000000"/>
              </w:rPr>
              <w:t>0.31</w:t>
            </w:r>
          </w:p>
        </w:tc>
        <w:tc>
          <w:tcPr>
            <w:tcW w:w="77" w:type="dxa"/>
            <w:tcMar>
              <w:left w:w="0" w:type="dxa"/>
              <w:right w:w="0" w:type="dxa"/>
            </w:tcMar>
          </w:tcPr>
          <w:p w:rsidR="002E3B31" w:rsidRDefault="002E3B31"/>
        </w:tc>
      </w:tr>
    </w:tbl>
    <w:p w:rsidR="002E3B31" w:rsidRDefault="002E3B31">
      <w:pPr>
        <w:spacing w:before="60" w:line="288" w:lineRule="auto"/>
        <w:rPr>
          <w:i/>
        </w:rPr>
      </w:pPr>
    </w:p>
    <w:p w:rsidR="002E3B31" w:rsidRDefault="007C6E2D">
      <w:pPr>
        <w:spacing w:line="288" w:lineRule="auto"/>
        <w:ind w:left="540" w:hanging="540"/>
      </w:pPr>
      <w:r>
        <w:t> </w:t>
      </w:r>
      <w:r>
        <w:rPr>
          <w:i/>
          <w:vertAlign w:val="superscript"/>
        </w:rPr>
        <w:t xml:space="preserve">(1) </w:t>
      </w:r>
      <w:r>
        <w:rPr>
          <w:i/>
        </w:rPr>
        <w:t>Pipeline throughput is defined as the volume of delivered barrels.</w:t>
      </w:r>
    </w:p>
    <w:p w:rsidR="002E3B31" w:rsidRDefault="007C6E2D">
      <w:pPr>
        <w:spacing w:line="288" w:lineRule="auto"/>
        <w:ind w:left="540" w:hanging="540"/>
        <w:rPr>
          <w:i/>
          <w:vertAlign w:val="superscript"/>
        </w:rPr>
      </w:pPr>
      <w:r>
        <w:rPr>
          <w:i/>
          <w:vertAlign w:val="superscript"/>
        </w:rPr>
        <w:t>(2)</w:t>
      </w:r>
      <w:r>
        <w:rPr>
          <w:i/>
        </w:rPr>
        <w:t xml:space="preserve"> Terminaling throughput is defined as the volume of delivered barrels and storage is defined as the volume of stored barrels.</w:t>
      </w:r>
    </w:p>
    <w:p w:rsidR="002E3B31" w:rsidRDefault="007C6E2D">
      <w:pPr>
        <w:spacing w:line="288" w:lineRule="auto"/>
        <w:ind w:left="180" w:hanging="180"/>
        <w:rPr>
          <w:i/>
          <w:vertAlign w:val="superscript"/>
        </w:rPr>
      </w:pPr>
      <w:r>
        <w:rPr>
          <w:i/>
          <w:vertAlign w:val="superscript"/>
        </w:rPr>
        <w:t>(3)</w:t>
      </w:r>
      <w:r>
        <w:rPr>
          <w:i/>
        </w:rPr>
        <w:t xml:space="preserve"> Based on reported revenues from transportation and allowance oil divided by delivered barrels over the same time period. Actual tariffs charged are based on shipping points along the pipeline system, volume and length of contract.</w:t>
      </w:r>
    </w:p>
    <w:p w:rsidR="002E3B31" w:rsidRDefault="007C6E2D">
      <w:pPr>
        <w:tabs>
          <w:tab w:val="left" w:pos="0"/>
        </w:tabs>
        <w:spacing w:line="288" w:lineRule="auto"/>
        <w:ind w:left="180" w:hanging="180"/>
        <w:rPr>
          <w:i/>
          <w:vertAlign w:val="superscript"/>
        </w:rPr>
      </w:pPr>
      <w:r>
        <w:rPr>
          <w:i/>
          <w:vertAlign w:val="superscript"/>
        </w:rPr>
        <w:t>(4)</w:t>
      </w:r>
      <w:r>
        <w:rPr>
          <w:i/>
        </w:rPr>
        <w:t xml:space="preserve"> Based on reported revenues from transportation and storage divided by delivered and stored barrels over the same time period. Actual rates are based on contract volume and length.</w:t>
      </w:r>
    </w:p>
    <w:p w:rsidR="002E3B31" w:rsidRDefault="007C6E2D">
      <w:pPr>
        <w:spacing w:line="288" w:lineRule="auto"/>
        <w:ind w:left="180" w:hanging="180"/>
        <w:rPr>
          <w:i/>
          <w:vertAlign w:val="superscript"/>
        </w:rPr>
      </w:pPr>
      <w:r>
        <w:rPr>
          <w:i/>
          <w:vertAlign w:val="superscript"/>
        </w:rPr>
        <w:t>(5)</w:t>
      </w:r>
      <w:r>
        <w:rPr>
          <w:i/>
        </w:rPr>
        <w:t>Refinery Gas Pipeline and our refined products terminals are not included above as they generate revenue under transportation and terminaling service agreements, respectively, that provide for guaranteed minimum throughput.</w:t>
      </w:r>
    </w:p>
    <w:p w:rsidR="002E3B31" w:rsidRDefault="002E3B31">
      <w:pPr>
        <w:tabs>
          <w:tab w:val="left" w:pos="0"/>
        </w:tabs>
        <w:spacing w:line="288" w:lineRule="auto"/>
        <w:ind w:left="180" w:hanging="180"/>
        <w:rPr>
          <w:i/>
        </w:rPr>
      </w:pPr>
    </w:p>
    <w:p w:rsidR="002E3B31" w:rsidRDefault="002E3B31">
      <w:pPr>
        <w:spacing w:line="288" w:lineRule="auto"/>
        <w:rPr>
          <w:i/>
        </w:rPr>
      </w:pPr>
    </w:p>
    <w:p w:rsidR="002E3B31" w:rsidRDefault="002E3B31">
      <w:pPr>
        <w:spacing w:line="288" w:lineRule="auto"/>
        <w:rPr>
          <w:i/>
        </w:rPr>
      </w:pPr>
    </w:p>
    <w:p w:rsidR="002E3B31" w:rsidRDefault="002E3B31">
      <w:pPr>
        <w:sectPr w:rsidR="002E3B31">
          <w:headerReference w:type="default" r:id="rId11"/>
          <w:footerReference w:type="default" r:id="rId12"/>
          <w:type w:val="continuous"/>
          <w:pgSz w:w="12240" w:h="15840"/>
          <w:pgMar w:top="860" w:right="1000" w:bottom="860" w:left="1000" w:header="160" w:footer="460" w:gutter="0"/>
          <w:pgNumType w:chapSep="period"/>
          <w:cols w:space="720"/>
        </w:sectPr>
      </w:pPr>
    </w:p>
    <w:p w:rsidR="002E3B31" w:rsidRDefault="007C6E2D">
      <w:pPr>
        <w:keepNext/>
        <w:spacing w:line="288" w:lineRule="auto"/>
      </w:pPr>
      <w:r>
        <w:rPr>
          <w:color w:val="000000"/>
          <w:u w:val="single" w:color="000000"/>
        </w:rPr>
        <w:t>FORWARD LOOKING STATEMENTS</w:t>
      </w:r>
      <w:bookmarkStart w:id="2" w:name="Forward_Looking_Statements"/>
      <w:bookmarkEnd w:id="2"/>
    </w:p>
    <w:p w:rsidR="002E3B31" w:rsidRDefault="007C6E2D">
      <w:pPr>
        <w:spacing w:before="120" w:line="288" w:lineRule="auto"/>
        <w:rPr>
          <w:i/>
        </w:rPr>
      </w:pPr>
      <w:r>
        <w:rPr>
          <w:i/>
        </w:rPr>
        <w:t>This press release includes various “forward-looking statements” within the meaning of Section 27A of the Securities Act of 1933, as amended, and Section 21E of the Securities Exchange Act of 1934, as amended.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expressing management’s expectations, beliefs, estimates, forecasts, projections and assumptions. You can identify our forward-looking statements by words such as “anticipate”, “believe”, “estimate”, “expect”, “forecast”, “goals”, “objectives”, “outlook”, “intend”, “plan”, “predict”, “project”, “risks”, “schedule”, “seek”, “target”, “could”, “may”, “should” or “would” or other similar expressions that convey the uncertainty of future events or outcomes. In accordance with “safe harbor” provisions of the Private Securities Litigation Reform Act of 1995, these statements are accompanied by cautionary language identifying important factors, though not necessarily all such factors, which could cause future outcomes to differ materially from those set forth in forward-looking statements. In particular, expressed or implied statements concerning future growth, future actions, closing and funding of acquisitions, future drop downs, volumes, capital requirements, conditions or events, future impact of prior acquisitions, future operating results or the ability to generate sales, income or cash flow or the amount of distributions are forward-looking statements. Forward-looking statements are not guarantees of performance. They involve risks, uncertainties and assumptions. Future actions, conditions or events and future results of operations may differ materially from those expressed in these forward-looking statements. Forward-looking statements speak only as of the date of this press release, February 27, 2018, and we disclaim any obligation to update such statements for any reason, except as required by law. All forward-looking statements contained in this document are expressly qualified in their entirety by the cautionary statements contained or referred to in this paragraph. More information on these risks and other potential factors that could affect the Partnership’s financial results is included in the Partnership’s filings with the U.S. Securities and Exchange Commission, including in the “Ricks Factors” and “Management’s Discussion and Analysis of Financial Condition and Results of Operations” sections of the Partnership’s most recently filed periodic reports on Form 10-K and Form 10-Q and subsequent filing. If any of those risks occur, it could cause our actual results to differ materially from those contained in any forward-looking statement. Because of these risks and uncertainties, you should not place undue reliance on any forward-looking statement.</w:t>
      </w:r>
    </w:p>
    <w:p w:rsidR="002E3B31" w:rsidRDefault="002E3B31">
      <w:pPr>
        <w:spacing w:before="120" w:line="288" w:lineRule="auto"/>
        <w:rPr>
          <w:i/>
        </w:rPr>
      </w:pPr>
    </w:p>
    <w:p w:rsidR="002E3B31" w:rsidRDefault="002E3B31">
      <w:pPr>
        <w:spacing w:line="288" w:lineRule="auto"/>
        <w:rPr>
          <w:i/>
        </w:rPr>
      </w:pPr>
    </w:p>
    <w:p w:rsidR="002E3B31" w:rsidRDefault="007C6E2D">
      <w:pPr>
        <w:keepNext/>
        <w:spacing w:line="288" w:lineRule="auto"/>
      </w:pPr>
      <w:r>
        <w:rPr>
          <w:color w:val="000000"/>
          <w:u w:val="single" w:color="000000"/>
        </w:rPr>
        <w:t>NON-GAAP FINANCIAL MEASURES</w:t>
      </w:r>
    </w:p>
    <w:p w:rsidR="002E3B31" w:rsidRDefault="007C6E2D">
      <w:pPr>
        <w:spacing w:before="120" w:line="288" w:lineRule="auto"/>
        <w:rPr>
          <w:i/>
        </w:rPr>
      </w:pPr>
      <w:r>
        <w:rPr>
          <w:i/>
        </w:rPr>
        <w:t>This press release includes the terms Adjusted EBITDA and cash available for distribution. We believe that the presentation of Adjusted EBITDA and cash available for distribution provides useful information to investors in assessing our financial condition and results of operations. Adjusted EBITDA and cash available for distribution are non-GAAP supplemental financial measures that management and external users of our condensed consolidated financial statements, such as industry analysts, investors, lenders and rating agencies, may use to assess:</w:t>
      </w:r>
    </w:p>
    <w:p w:rsidR="002E3B31" w:rsidRDefault="007C6E2D">
      <w:pPr>
        <w:numPr>
          <w:ilvl w:val="0"/>
          <w:numId w:val="3"/>
        </w:numPr>
        <w:spacing w:before="120" w:line="288" w:lineRule="auto"/>
        <w:ind w:left="860"/>
        <w:rPr>
          <w:i/>
        </w:rPr>
      </w:pPr>
      <w:r>
        <w:rPr>
          <w:i/>
        </w:rPr>
        <w:t>our operating performance as compared to other publicly traded partnerships in the midstream energy industry, without regard to historical cost basis or, in the case of Adjusted EBITDA, financing methods;</w:t>
      </w:r>
    </w:p>
    <w:p w:rsidR="002E3B31" w:rsidRDefault="007C6E2D">
      <w:pPr>
        <w:numPr>
          <w:ilvl w:val="0"/>
          <w:numId w:val="3"/>
        </w:numPr>
        <w:spacing w:before="120" w:line="288" w:lineRule="auto"/>
        <w:ind w:left="860"/>
        <w:rPr>
          <w:i/>
        </w:rPr>
      </w:pPr>
      <w:r>
        <w:rPr>
          <w:i/>
        </w:rPr>
        <w:t>the ability of our business to generate sufficient cash to support our decision to make distributions to our unitholders;</w:t>
      </w:r>
    </w:p>
    <w:p w:rsidR="002E3B31" w:rsidRDefault="007C6E2D">
      <w:pPr>
        <w:numPr>
          <w:ilvl w:val="0"/>
          <w:numId w:val="3"/>
        </w:numPr>
        <w:spacing w:before="120" w:line="288" w:lineRule="auto"/>
        <w:ind w:left="860"/>
        <w:rPr>
          <w:i/>
        </w:rPr>
      </w:pPr>
      <w:r>
        <w:rPr>
          <w:i/>
        </w:rPr>
        <w:t>our ability to incur and service debt and fund capital expenditures; and</w:t>
      </w:r>
    </w:p>
    <w:p w:rsidR="002E3B31" w:rsidRDefault="007C6E2D">
      <w:pPr>
        <w:numPr>
          <w:ilvl w:val="0"/>
          <w:numId w:val="3"/>
        </w:numPr>
        <w:spacing w:before="120" w:line="288" w:lineRule="auto"/>
        <w:ind w:left="860"/>
        <w:rPr>
          <w:i/>
        </w:rPr>
      </w:pPr>
      <w:r>
        <w:rPr>
          <w:i/>
        </w:rPr>
        <w:t>the viability of acquisitions and other capital expenditure projects and the returns on investment of various investment opportunities.</w:t>
      </w:r>
    </w:p>
    <w:p w:rsidR="002E3B31" w:rsidRDefault="007C6E2D">
      <w:pPr>
        <w:spacing w:before="240" w:line="288" w:lineRule="auto"/>
        <w:rPr>
          <w:i/>
        </w:rPr>
      </w:pPr>
      <w:r>
        <w:rPr>
          <w:i/>
        </w:rPr>
        <w:t>The GAAP measures most directly comparable to Adjusted EBITDA and cash available for distribution are net income and net cash provided by operating activities. These non-GAAP measures should not be considered as alternatives to GAAP net income or net cash provided by operating activities. Adjusted EBITDA and cash available for distribution have important limitations as analytical tools because they exclude some but not all items that affect net income and net cash provided by operating activities. They should not be considered in isolation or as substitutes for analysis of our results as reported under GAAP. Additionally, because Adjusted EBITDA and cash available for distribution may be defined differently by other companies in our industry, our definition of Adjusted EBITDA and cash available for distribution may not be comparable to similarly titled measures of other companies, thereby diminishing their utility.</w:t>
      </w:r>
    </w:p>
    <w:p w:rsidR="002E3B31" w:rsidRDefault="007C6E2D">
      <w:pPr>
        <w:spacing w:before="240" w:line="288" w:lineRule="auto"/>
        <w:rPr>
          <w:i/>
        </w:rPr>
      </w:pPr>
      <w:r>
        <w:rPr>
          <w:i/>
        </w:rPr>
        <w:t xml:space="preserve">References in this press release to Adjusted EBITDA refer to net income before income taxes, net interest expense, gain or loss from disposition of fixed assets, allowance oil reduction to net realizable value, and depreciation, amortization and accretion, </w:t>
      </w:r>
      <w:r>
        <w:rPr>
          <w:i/>
          <w:color w:val="000000"/>
          <w:u w:val="single" w:color="000000"/>
        </w:rPr>
        <w:t>plus</w:t>
      </w:r>
      <w:r>
        <w:rPr>
          <w:i/>
        </w:rPr>
        <w:t xml:space="preserve"> cash distributed to Shell Midstream Partners, L.P. from equity investments for the applicable period, </w:t>
      </w:r>
      <w:r>
        <w:rPr>
          <w:i/>
          <w:color w:val="000000"/>
          <w:u w:val="single" w:color="000000"/>
        </w:rPr>
        <w:t>less</w:t>
      </w:r>
      <w:r>
        <w:rPr>
          <w:i/>
        </w:rPr>
        <w:t xml:space="preserve"> income from equity investments. We define Adjusted EBITDA attributable to Shell Midstream Partners as Adjusted EBITDA </w:t>
      </w:r>
      <w:r>
        <w:rPr>
          <w:i/>
          <w:color w:val="000000"/>
          <w:u w:val="single" w:color="000000"/>
        </w:rPr>
        <w:t>less</w:t>
      </w:r>
      <w:r>
        <w:rPr>
          <w:i/>
        </w:rPr>
        <w:t xml:space="preserve"> Adjusted EBITDA attributable to noncontrolling interests. References to cash available for distribution refer to Adjusted EBITDA attributable to Shell Midstream Partners, </w:t>
      </w:r>
      <w:r>
        <w:rPr>
          <w:i/>
          <w:color w:val="000000"/>
          <w:u w:val="single" w:color="000000"/>
        </w:rPr>
        <w:t>less</w:t>
      </w:r>
      <w:r>
        <w:rPr>
          <w:i/>
        </w:rPr>
        <w:t xml:space="preserve"> maintenance capital expenditures attributable to Shell Midstream Partners, net interest paid, cash reserves and income taxes paid, </w:t>
      </w:r>
      <w:r>
        <w:rPr>
          <w:i/>
          <w:color w:val="000000"/>
          <w:u w:val="single" w:color="000000"/>
        </w:rPr>
        <w:t>plus</w:t>
      </w:r>
      <w:r>
        <w:rPr>
          <w:i/>
        </w:rPr>
        <w:t xml:space="preserve"> net adjustments from volume deficiency payments attributable to Shell Midstream Partners and certain one-time payments not reflected in net income.  Cash available for distribution will not reflect changes in working capital balances.</w:t>
      </w:r>
    </w:p>
    <w:p w:rsidR="002E3B31" w:rsidRDefault="007C6E2D">
      <w:pPr>
        <w:spacing w:before="240" w:line="288" w:lineRule="auto"/>
        <w:rPr>
          <w:sz w:val="16"/>
        </w:rPr>
      </w:pPr>
      <w:r>
        <w:rPr>
          <w:sz w:val="16"/>
        </w:rPr>
        <w:t>February 27, 2018</w:t>
      </w:r>
    </w:p>
    <w:p w:rsidR="002E3B31" w:rsidRDefault="00BD3DBC">
      <w:pPr>
        <w:spacing w:line="288" w:lineRule="auto"/>
      </w:pPr>
      <w:r>
        <w:pict w14:anchorId="5EEFD233">
          <v:rect id="_x0000_i1025" style="width:396pt;height:1.5pt;mso-position-vertical:absolute" o:hralign="center" o:hrstd="t" o:hrnoshade="t" o:hr="t" fillcolor="black" stroked="f"/>
        </w:pict>
      </w:r>
    </w:p>
    <w:p w:rsidR="002E3B31" w:rsidRDefault="002E3B31">
      <w:pPr>
        <w:spacing w:before="240" w:line="288" w:lineRule="auto"/>
      </w:pPr>
    </w:p>
    <w:p w:rsidR="002E3B31" w:rsidRDefault="007C6E2D">
      <w:pPr>
        <w:spacing w:line="288" w:lineRule="auto"/>
        <w:rPr>
          <w:sz w:val="18"/>
        </w:rPr>
      </w:pPr>
      <w:r>
        <w:rPr>
          <w:sz w:val="18"/>
        </w:rPr>
        <w:t>The information in this Report reflects the unaudited consolidated financial position and results of Shell Midstream Partners, L.P.</w:t>
      </w:r>
    </w:p>
    <w:p w:rsidR="002E3B31" w:rsidRDefault="002E3B31">
      <w:pPr>
        <w:spacing w:line="288" w:lineRule="auto"/>
      </w:pPr>
    </w:p>
    <w:p w:rsidR="002E3B31" w:rsidRDefault="00BD3DBC">
      <w:pPr>
        <w:spacing w:line="288" w:lineRule="auto"/>
      </w:pPr>
      <w:r>
        <w:pict w14:anchorId="315FCCF0">
          <v:rect id="_x0000_i1026" style="width:396pt;height:1.5pt;mso-position-vertical:absolute" o:hralign="center" o:hrstd="t" o:hrnoshade="t" o:hr="t" fillcolor="black" stroked="f"/>
        </w:pict>
      </w:r>
    </w:p>
    <w:p w:rsidR="002E3B31" w:rsidRDefault="002E3B31">
      <w:pPr>
        <w:spacing w:line="288" w:lineRule="auto"/>
      </w:pPr>
    </w:p>
    <w:p w:rsidR="002E3B31" w:rsidRDefault="002E3B31">
      <w:pPr>
        <w:spacing w:line="288" w:lineRule="auto"/>
      </w:pPr>
    </w:p>
    <w:p w:rsidR="002E3B31" w:rsidRDefault="007C6E2D">
      <w:pPr>
        <w:spacing w:line="288" w:lineRule="auto"/>
        <w:ind w:right="340"/>
        <w:rPr>
          <w:sz w:val="18"/>
        </w:rPr>
      </w:pPr>
      <w:r>
        <w:rPr>
          <w:sz w:val="18"/>
        </w:rPr>
        <w:t>Inquiries:</w:t>
      </w:r>
    </w:p>
    <w:p w:rsidR="002E3B31" w:rsidRDefault="007C6E2D">
      <w:pPr>
        <w:spacing w:line="288" w:lineRule="auto"/>
        <w:ind w:right="340"/>
        <w:rPr>
          <w:sz w:val="18"/>
        </w:rPr>
      </w:pPr>
      <w:r>
        <w:rPr>
          <w:sz w:val="18"/>
        </w:rPr>
        <w:t>Shell Media Relations</w:t>
      </w:r>
    </w:p>
    <w:p w:rsidR="002E3B31" w:rsidRDefault="007C6E2D">
      <w:pPr>
        <w:spacing w:line="288" w:lineRule="auto"/>
        <w:ind w:right="340"/>
        <w:rPr>
          <w:sz w:val="18"/>
        </w:rPr>
      </w:pPr>
      <w:r>
        <w:rPr>
          <w:sz w:val="18"/>
        </w:rPr>
        <w:t>Americas: +1 832 337 4355</w:t>
      </w:r>
    </w:p>
    <w:p w:rsidR="002E3B31" w:rsidRDefault="007C6E2D">
      <w:pPr>
        <w:spacing w:before="240" w:line="288" w:lineRule="auto"/>
        <w:ind w:right="340"/>
        <w:rPr>
          <w:sz w:val="18"/>
        </w:rPr>
      </w:pPr>
      <w:r>
        <w:rPr>
          <w:sz w:val="18"/>
        </w:rPr>
        <w:t>Shell Investor Relations</w:t>
      </w:r>
    </w:p>
    <w:p w:rsidR="002E3B31" w:rsidRDefault="007C6E2D">
      <w:pPr>
        <w:spacing w:line="288" w:lineRule="auto"/>
        <w:ind w:right="340"/>
        <w:rPr>
          <w:sz w:val="18"/>
        </w:rPr>
      </w:pPr>
      <w:r>
        <w:rPr>
          <w:sz w:val="18"/>
        </w:rPr>
        <w:t>North America: +1 832 337 2034</w:t>
      </w:r>
    </w:p>
    <w:p w:rsidR="002E3B31" w:rsidRDefault="002E3B31">
      <w:pPr>
        <w:spacing w:line="288" w:lineRule="auto"/>
        <w:jc w:val="center"/>
      </w:pPr>
    </w:p>
    <w:sectPr w:rsidR="002E3B31">
      <w:headerReference w:type="default" r:id="rId13"/>
      <w:footerReference w:type="default" r:id="rId14"/>
      <w:type w:val="continuous"/>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BC" w:rsidRDefault="00BD3DBC">
      <w:r>
        <w:separator/>
      </w:r>
    </w:p>
  </w:endnote>
  <w:endnote w:type="continuationSeparator" w:id="0">
    <w:p w:rsidR="00BD3DBC" w:rsidRDefault="00BD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pPr>
      <w:spacing w:line="288"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pPr>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pPr>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BC" w:rsidRDefault="00BD3DBC">
      <w:r>
        <w:separator/>
      </w:r>
    </w:p>
  </w:footnote>
  <w:footnote w:type="continuationSeparator" w:id="0">
    <w:p w:rsidR="00BD3DBC" w:rsidRDefault="00BD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pPr>
      <w:spacing w:line="288"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pPr>
      <w:spacing w:line="288"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5F0"/>
    <w:multiLevelType w:val="hybridMultilevel"/>
    <w:tmpl w:val="E648EE88"/>
    <w:lvl w:ilvl="0" w:tplc="8F44CD2A">
      <w:start w:val="1"/>
      <w:numFmt w:val="decimalEnclosedCircle"/>
      <w:lvlText w:val="◦ "/>
      <w:lvlJc w:val="left"/>
      <w:pPr>
        <w:ind w:hanging="360"/>
      </w:pPr>
    </w:lvl>
    <w:lvl w:ilvl="1" w:tplc="7DAEF46C">
      <w:numFmt w:val="decimal"/>
      <w:lvlText w:val=""/>
      <w:lvlJc w:val="left"/>
    </w:lvl>
    <w:lvl w:ilvl="2" w:tplc="8F3A386A">
      <w:numFmt w:val="decimal"/>
      <w:lvlText w:val=""/>
      <w:lvlJc w:val="left"/>
    </w:lvl>
    <w:lvl w:ilvl="3" w:tplc="BE22D5E4">
      <w:numFmt w:val="decimal"/>
      <w:lvlText w:val=""/>
      <w:lvlJc w:val="left"/>
    </w:lvl>
    <w:lvl w:ilvl="4" w:tplc="4A10A50A">
      <w:numFmt w:val="decimal"/>
      <w:lvlText w:val=""/>
      <w:lvlJc w:val="left"/>
    </w:lvl>
    <w:lvl w:ilvl="5" w:tplc="FE20D698">
      <w:numFmt w:val="decimal"/>
      <w:lvlText w:val=""/>
      <w:lvlJc w:val="left"/>
    </w:lvl>
    <w:lvl w:ilvl="6" w:tplc="0B2263CE">
      <w:numFmt w:val="decimal"/>
      <w:lvlText w:val=""/>
      <w:lvlJc w:val="left"/>
    </w:lvl>
    <w:lvl w:ilvl="7" w:tplc="395E15D4">
      <w:numFmt w:val="decimal"/>
      <w:lvlText w:val=""/>
      <w:lvlJc w:val="left"/>
    </w:lvl>
    <w:lvl w:ilvl="8" w:tplc="DE40DB2C">
      <w:numFmt w:val="decimal"/>
      <w:lvlText w:val=""/>
      <w:lvlJc w:val="left"/>
    </w:lvl>
  </w:abstractNum>
  <w:abstractNum w:abstractNumId="1" w15:restartNumberingAfterBreak="0">
    <w:nsid w:val="3DD96D7C"/>
    <w:multiLevelType w:val="hybridMultilevel"/>
    <w:tmpl w:val="EA74E14C"/>
    <w:lvl w:ilvl="0" w:tplc="C59A5CC8">
      <w:start w:val="1"/>
      <w:numFmt w:val="bullet"/>
      <w:lvlText w:val="• "/>
      <w:lvlJc w:val="left"/>
      <w:pPr>
        <w:ind w:hanging="360"/>
      </w:pPr>
    </w:lvl>
    <w:lvl w:ilvl="1" w:tplc="E11CA400">
      <w:numFmt w:val="decimal"/>
      <w:lvlText w:val=""/>
      <w:lvlJc w:val="left"/>
    </w:lvl>
    <w:lvl w:ilvl="2" w:tplc="2DC64E48">
      <w:numFmt w:val="decimal"/>
      <w:lvlText w:val=""/>
      <w:lvlJc w:val="left"/>
    </w:lvl>
    <w:lvl w:ilvl="3" w:tplc="8A8A4FD2">
      <w:numFmt w:val="decimal"/>
      <w:lvlText w:val=""/>
      <w:lvlJc w:val="left"/>
    </w:lvl>
    <w:lvl w:ilvl="4" w:tplc="B5868DD6">
      <w:numFmt w:val="decimal"/>
      <w:lvlText w:val=""/>
      <w:lvlJc w:val="left"/>
    </w:lvl>
    <w:lvl w:ilvl="5" w:tplc="B60C9ECE">
      <w:numFmt w:val="decimal"/>
      <w:lvlText w:val=""/>
      <w:lvlJc w:val="left"/>
    </w:lvl>
    <w:lvl w:ilvl="6" w:tplc="B3E60DAA">
      <w:numFmt w:val="decimal"/>
      <w:lvlText w:val=""/>
      <w:lvlJc w:val="left"/>
    </w:lvl>
    <w:lvl w:ilvl="7" w:tplc="72BCF2D4">
      <w:numFmt w:val="decimal"/>
      <w:lvlText w:val=""/>
      <w:lvlJc w:val="left"/>
    </w:lvl>
    <w:lvl w:ilvl="8" w:tplc="5F1C2A60">
      <w:numFmt w:val="decimal"/>
      <w:lvlText w:val=""/>
      <w:lvlJc w:val="left"/>
    </w:lvl>
  </w:abstractNum>
  <w:abstractNum w:abstractNumId="2" w15:restartNumberingAfterBreak="0">
    <w:nsid w:val="584B111D"/>
    <w:multiLevelType w:val="hybridMultilevel"/>
    <w:tmpl w:val="6308AF78"/>
    <w:lvl w:ilvl="0" w:tplc="19F8BFB2">
      <w:start w:val="1"/>
      <w:numFmt w:val="bullet"/>
      <w:lvlText w:val="• "/>
      <w:lvlJc w:val="left"/>
      <w:pPr>
        <w:ind w:hanging="360"/>
      </w:pPr>
    </w:lvl>
    <w:lvl w:ilvl="1" w:tplc="A1AAA600">
      <w:numFmt w:val="decimal"/>
      <w:lvlText w:val=""/>
      <w:lvlJc w:val="left"/>
    </w:lvl>
    <w:lvl w:ilvl="2" w:tplc="E45C233C">
      <w:numFmt w:val="decimal"/>
      <w:lvlText w:val=""/>
      <w:lvlJc w:val="left"/>
    </w:lvl>
    <w:lvl w:ilvl="3" w:tplc="2AAEAFA0">
      <w:numFmt w:val="decimal"/>
      <w:lvlText w:val=""/>
      <w:lvlJc w:val="left"/>
    </w:lvl>
    <w:lvl w:ilvl="4" w:tplc="24AA19C2">
      <w:numFmt w:val="decimal"/>
      <w:lvlText w:val=""/>
      <w:lvlJc w:val="left"/>
    </w:lvl>
    <w:lvl w:ilvl="5" w:tplc="75E411AE">
      <w:numFmt w:val="decimal"/>
      <w:lvlText w:val=""/>
      <w:lvlJc w:val="left"/>
    </w:lvl>
    <w:lvl w:ilvl="6" w:tplc="88D23FAC">
      <w:numFmt w:val="decimal"/>
      <w:lvlText w:val=""/>
      <w:lvlJc w:val="left"/>
    </w:lvl>
    <w:lvl w:ilvl="7" w:tplc="09E04FC6">
      <w:numFmt w:val="decimal"/>
      <w:lvlText w:val=""/>
      <w:lvlJc w:val="left"/>
    </w:lvl>
    <w:lvl w:ilvl="8" w:tplc="D158D236">
      <w:numFmt w:val="decimal"/>
      <w:lvlText w:val=""/>
      <w:lvlJc w:val="left"/>
    </w:lvl>
  </w:abstractNum>
  <w:abstractNum w:abstractNumId="3" w15:restartNumberingAfterBreak="0">
    <w:nsid w:val="75936CED"/>
    <w:multiLevelType w:val="hybridMultilevel"/>
    <w:tmpl w:val="2DDE1AE6"/>
    <w:lvl w:ilvl="0" w:tplc="3EACAAEA">
      <w:start w:val="1"/>
      <w:numFmt w:val="decimalEnclosedCircle"/>
      <w:lvlText w:val="◦ "/>
      <w:lvlJc w:val="left"/>
      <w:pPr>
        <w:ind w:hanging="360"/>
      </w:pPr>
    </w:lvl>
    <w:lvl w:ilvl="1" w:tplc="72EAE294">
      <w:numFmt w:val="decimal"/>
      <w:lvlText w:val=""/>
      <w:lvlJc w:val="left"/>
    </w:lvl>
    <w:lvl w:ilvl="2" w:tplc="C84E0FC6">
      <w:numFmt w:val="decimal"/>
      <w:lvlText w:val=""/>
      <w:lvlJc w:val="left"/>
    </w:lvl>
    <w:lvl w:ilvl="3" w:tplc="92041DB6">
      <w:numFmt w:val="decimal"/>
      <w:lvlText w:val=""/>
      <w:lvlJc w:val="left"/>
    </w:lvl>
    <w:lvl w:ilvl="4" w:tplc="587848EA">
      <w:numFmt w:val="decimal"/>
      <w:lvlText w:val=""/>
      <w:lvlJc w:val="left"/>
    </w:lvl>
    <w:lvl w:ilvl="5" w:tplc="9B8E4280">
      <w:numFmt w:val="decimal"/>
      <w:lvlText w:val=""/>
      <w:lvlJc w:val="left"/>
    </w:lvl>
    <w:lvl w:ilvl="6" w:tplc="7D4E8248">
      <w:numFmt w:val="decimal"/>
      <w:lvlText w:val=""/>
      <w:lvlJc w:val="left"/>
    </w:lvl>
    <w:lvl w:ilvl="7" w:tplc="6E9CE592">
      <w:numFmt w:val="decimal"/>
      <w:lvlText w:val=""/>
      <w:lvlJc w:val="left"/>
    </w:lvl>
    <w:lvl w:ilvl="8" w:tplc="D5BAC488">
      <w:numFmt w:val="decimal"/>
      <w:lvlText w:val=""/>
      <w:lvlJc w:val="left"/>
    </w:lvl>
  </w:abstractNum>
  <w:abstractNum w:abstractNumId="4" w15:restartNumberingAfterBreak="0">
    <w:nsid w:val="7E722ACA"/>
    <w:multiLevelType w:val="hybridMultilevel"/>
    <w:tmpl w:val="74622D2A"/>
    <w:lvl w:ilvl="0" w:tplc="189EEBA0">
      <w:start w:val="1"/>
      <w:numFmt w:val="decimalEnclosedCircle"/>
      <w:lvlText w:val="◦ "/>
      <w:lvlJc w:val="left"/>
      <w:pPr>
        <w:ind w:hanging="360"/>
      </w:pPr>
    </w:lvl>
    <w:lvl w:ilvl="1" w:tplc="0A40B558">
      <w:numFmt w:val="decimal"/>
      <w:lvlText w:val=""/>
      <w:lvlJc w:val="left"/>
    </w:lvl>
    <w:lvl w:ilvl="2" w:tplc="63B45136">
      <w:numFmt w:val="decimal"/>
      <w:lvlText w:val=""/>
      <w:lvlJc w:val="left"/>
    </w:lvl>
    <w:lvl w:ilvl="3" w:tplc="D3D08006">
      <w:numFmt w:val="decimal"/>
      <w:lvlText w:val=""/>
      <w:lvlJc w:val="left"/>
    </w:lvl>
    <w:lvl w:ilvl="4" w:tplc="E1C4B584">
      <w:numFmt w:val="decimal"/>
      <w:lvlText w:val=""/>
      <w:lvlJc w:val="left"/>
    </w:lvl>
    <w:lvl w:ilvl="5" w:tplc="0C0EBBCA">
      <w:numFmt w:val="decimal"/>
      <w:lvlText w:val=""/>
      <w:lvlJc w:val="left"/>
    </w:lvl>
    <w:lvl w:ilvl="6" w:tplc="BD4C8698">
      <w:numFmt w:val="decimal"/>
      <w:lvlText w:val=""/>
      <w:lvlJc w:val="left"/>
    </w:lvl>
    <w:lvl w:ilvl="7" w:tplc="D4648DEE">
      <w:numFmt w:val="decimal"/>
      <w:lvlText w:val=""/>
      <w:lvlJc w:val="left"/>
    </w:lvl>
    <w:lvl w:ilvl="8" w:tplc="59C8A21C">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31"/>
    <w:rsid w:val="002E3B31"/>
    <w:rsid w:val="004546ED"/>
    <w:rsid w:val="007C6E2D"/>
    <w:rsid w:val="00AB39E0"/>
    <w:rsid w:val="00BD3DBC"/>
    <w:rsid w:val="00DA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97F6"/>
  <w15:docId w15:val="{28D1FD91-5189-4730-A471-953344E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Selinidis, Courtney L SHLOIL-FR</cp:lastModifiedBy>
  <cp:revision>2</cp:revision>
  <dcterms:created xsi:type="dcterms:W3CDTF">2018-02-27T11:58:00Z</dcterms:created>
  <dcterms:modified xsi:type="dcterms:W3CDTF">2018-02-27T11:58:00Z</dcterms:modified>
</cp:coreProperties>
</file>