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DMRange1"/>
        <w:tblW w:w="10800" w:type="dxa"/>
        <w:tblLook w:val="0600" w:firstRow="0" w:lastRow="0" w:firstColumn="0" w:lastColumn="0" w:noHBand="1" w:noVBand="1"/>
      </w:tblPr>
      <w:tblGrid>
        <w:gridCol w:w="301"/>
        <w:gridCol w:w="8281"/>
        <w:gridCol w:w="1141"/>
        <w:gridCol w:w="1141"/>
      </w:tblGrid>
      <w:tr w:rsidR="00A40E1E">
        <w:trPr>
          <w:cantSplit/>
          <w:trHeight w:hRule="exact" w:val="240"/>
        </w:trPr>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pageBreakBefore/>
              <w:rPr>
                <w:rFonts w:ascii="Calibri" w:eastAsia="Calibri" w:hAnsi="Calibri" w:cs="Calibri"/>
                <w:color w:val="000000"/>
                <w:sz w:val="22"/>
              </w:rPr>
            </w:pPr>
          </w:p>
        </w:tc>
        <w:tc>
          <w:tcPr>
            <w:tcW w:w="826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color w:val="000000"/>
                <w:sz w:val="22"/>
              </w:rPr>
            </w:pPr>
          </w:p>
        </w:tc>
        <w:tc>
          <w:tcPr>
            <w:tcW w:w="2250"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center"/>
              <w:rPr>
                <w:rFonts w:ascii="Humnst777 BT" w:eastAsia="Humnst777 BT" w:hAnsi="Humnst777 BT" w:cs="Humnst777 BT"/>
                <w:b/>
                <w:color w:val="000000"/>
                <w:sz w:val="16"/>
              </w:rPr>
            </w:pPr>
            <w:r>
              <w:rPr>
                <w:rFonts w:ascii="Humnst777 BT" w:eastAsia="Humnst777 BT" w:hAnsi="Humnst777 BT" w:cs="Humnst777 BT"/>
                <w:b/>
                <w:color w:val="000000"/>
                <w:sz w:val="16"/>
              </w:rPr>
              <w:t>Pour les trois mois</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26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225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center"/>
              <w:rPr>
                <w:rFonts w:ascii="Humnst777 BT" w:eastAsia="Humnst777 BT" w:hAnsi="Humnst777 BT" w:cs="Humnst777 BT"/>
                <w:b/>
                <w:color w:val="000000"/>
                <w:sz w:val="16"/>
              </w:rPr>
            </w:pPr>
            <w:r>
              <w:rPr>
                <w:rFonts w:ascii="Humnst777 BT" w:eastAsia="Humnst777 BT" w:hAnsi="Humnst777 BT" w:cs="Humnst777 BT"/>
                <w:b/>
                <w:color w:val="000000"/>
                <w:sz w:val="16"/>
              </w:rPr>
              <w:t>terminés le 31 mars</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i/>
                <w:color w:val="000000"/>
                <w:sz w:val="14"/>
              </w:rPr>
            </w:pPr>
          </w:p>
        </w:tc>
        <w:tc>
          <w:tcPr>
            <w:tcW w:w="1125"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2018</w:t>
            </w:r>
          </w:p>
        </w:tc>
        <w:tc>
          <w:tcPr>
            <w:tcW w:w="1125"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2017</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550"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Mesures financières</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b/>
                <w:color w:val="000000"/>
                <w:sz w:val="22"/>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color w:val="000000"/>
                <w:sz w:val="22"/>
              </w:rPr>
            </w:pP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b/>
                <w:i/>
                <w:color w:val="000000"/>
                <w:sz w:val="16"/>
                <w:lang w:val="fr-CA"/>
              </w:rPr>
            </w:pPr>
            <w:r w:rsidRPr="00BC398A">
              <w:rPr>
                <w:rFonts w:ascii="Humnst777 BT" w:eastAsia="Humnst777 BT" w:hAnsi="Humnst777 BT" w:cs="Humnst777 BT"/>
                <w:b/>
                <w:i/>
                <w:color w:val="000000"/>
                <w:sz w:val="16"/>
                <w:lang w:val="fr-CA"/>
              </w:rPr>
              <w:t xml:space="preserve">Indicateurs de performance financière clés </w:t>
            </w:r>
            <w:r w:rsidRPr="00BC398A">
              <w:rPr>
                <w:rFonts w:ascii="Humnst777 BT" w:eastAsia="Humnst777 BT" w:hAnsi="Humnst777 BT" w:cs="Humnst777 BT"/>
                <w:color w:val="000000"/>
                <w:sz w:val="16"/>
                <w:vertAlign w:val="superscript"/>
                <w:lang w:val="fr-CA"/>
              </w:rPr>
              <w:t>1)</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Calibri" w:eastAsia="Calibri" w:hAnsi="Calibri" w:cs="Calibri"/>
                <w:b/>
                <w:color w:val="000000"/>
                <w:sz w:val="22"/>
                <w:lang w:val="fr-CA"/>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Calibri" w:eastAsia="Calibri" w:hAnsi="Calibri" w:cs="Calibri"/>
                <w:color w:val="000000"/>
                <w:sz w:val="22"/>
                <w:lang w:val="fr-CA"/>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8550" w:type="dxa"/>
            <w:gridSpan w:val="2"/>
            <w:vMerge w:val="restart"/>
            <w:tcBorders>
              <w:top w:val="nil"/>
              <w:left w:val="nil"/>
              <w:bottom w:val="nil"/>
              <w:right w:val="nil"/>
              <w:tl2br w:val="nil"/>
              <w:tr2bl w:val="nil"/>
            </w:tcBorders>
            <w:shd w:val="clear" w:color="auto" w:fill="auto"/>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Total des produits d’exploitation </w:t>
            </w:r>
            <w:r w:rsidRPr="00BC398A">
              <w:rPr>
                <w:rFonts w:ascii="Humnst777 BT" w:eastAsia="Humnst777 BT" w:hAnsi="Humnst777 BT" w:cs="Humnst777 BT"/>
                <w:i/>
                <w:color w:val="000000"/>
                <w:sz w:val="16"/>
                <w:lang w:val="fr-CA"/>
              </w:rPr>
              <w:t>(en millions de dollars)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3 194</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3 206</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Produits marchandises ferroviaires </w:t>
            </w:r>
            <w:r w:rsidRPr="00BC398A">
              <w:rPr>
                <w:rFonts w:ascii="Humnst777 BT" w:eastAsia="Humnst777 BT" w:hAnsi="Humnst777 BT" w:cs="Humnst777 BT"/>
                <w:i/>
                <w:color w:val="000000"/>
                <w:sz w:val="16"/>
                <w:lang w:val="fr-CA"/>
              </w:rPr>
              <w:t xml:space="preserve">(en millions de </w:t>
            </w:r>
            <w:r w:rsidRPr="00BC398A">
              <w:rPr>
                <w:rFonts w:ascii="Humnst777 BT" w:eastAsia="Humnst777 BT" w:hAnsi="Humnst777 BT" w:cs="Humnst777 BT"/>
                <w:i/>
                <w:color w:val="000000"/>
                <w:sz w:val="16"/>
                <w:lang w:val="fr-CA"/>
              </w:rPr>
              <w:t>dollars)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3 066</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3 075</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Bénéfice d’exploitation </w:t>
            </w:r>
            <w:r w:rsidRPr="00BC398A">
              <w:rPr>
                <w:rFonts w:ascii="Humnst777 BT" w:eastAsia="Humnst777 BT" w:hAnsi="Humnst777 BT" w:cs="Humnst777 BT"/>
                <w:i/>
                <w:color w:val="000000"/>
                <w:sz w:val="16"/>
                <w:lang w:val="fr-CA"/>
              </w:rPr>
              <w:t xml:space="preserve">(en millions de dollars) </w:t>
            </w:r>
            <w:r w:rsidRPr="00BC398A">
              <w:rPr>
                <w:rFonts w:ascii="Humnst777 BT" w:eastAsia="Humnst777 BT" w:hAnsi="Humnst777 BT" w:cs="Humnst777 BT"/>
                <w:color w:val="000000"/>
                <w:sz w:val="16"/>
                <w:vertAlign w:val="superscript"/>
                <w:lang w:val="fr-CA"/>
              </w:rPr>
              <w:t>2)</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1 030</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1 224</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Bénéfice net </w:t>
            </w:r>
            <w:r w:rsidRPr="00BC398A">
              <w:rPr>
                <w:rFonts w:ascii="Humnst777 BT" w:eastAsia="Humnst777 BT" w:hAnsi="Humnst777 BT" w:cs="Humnst777 BT"/>
                <w:i/>
                <w:color w:val="000000"/>
                <w:sz w:val="16"/>
                <w:lang w:val="fr-CA"/>
              </w:rPr>
              <w:t xml:space="preserve">(en millions de dollars) </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741</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884</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Bénéfice net rajusté </w:t>
            </w:r>
            <w:r w:rsidRPr="00BC398A">
              <w:rPr>
                <w:rFonts w:ascii="Humnst777 BT" w:eastAsia="Humnst777 BT" w:hAnsi="Humnst777 BT" w:cs="Humnst777 BT"/>
                <w:i/>
                <w:color w:val="000000"/>
                <w:sz w:val="16"/>
                <w:lang w:val="fr-CA"/>
              </w:rPr>
              <w:t xml:space="preserve">(en millions de dollars) </w:t>
            </w:r>
            <w:r w:rsidRPr="00BC398A">
              <w:rPr>
                <w:rFonts w:ascii="Humnst777 BT" w:eastAsia="Humnst777 BT" w:hAnsi="Humnst777 BT" w:cs="Humnst777 BT"/>
                <w:color w:val="000000"/>
                <w:sz w:val="16"/>
                <w:vertAlign w:val="superscript"/>
                <w:lang w:val="fr-CA"/>
              </w:rPr>
              <w:t>3)</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741</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879</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Bénéfice par action dilué </w:t>
            </w:r>
            <w:r w:rsidRPr="00BC398A">
              <w:rPr>
                <w:rFonts w:ascii="Humnst777 BT" w:eastAsia="Humnst777 BT" w:hAnsi="Humnst777 BT" w:cs="Humnst777 BT"/>
                <w:i/>
                <w:color w:val="000000"/>
                <w:sz w:val="16"/>
                <w:lang w:val="fr-CA"/>
              </w:rPr>
              <w:t xml:space="preserve">(en dollars) </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1,00</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1,16</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Bénéfice par action dilué rajusté </w:t>
            </w:r>
            <w:r w:rsidRPr="00BC398A">
              <w:rPr>
                <w:rFonts w:ascii="Humnst777 BT" w:eastAsia="Humnst777 BT" w:hAnsi="Humnst777 BT" w:cs="Humnst777 BT"/>
                <w:i/>
                <w:color w:val="000000"/>
                <w:sz w:val="16"/>
                <w:lang w:val="fr-CA"/>
              </w:rPr>
              <w:t xml:space="preserve">(en dollars) </w:t>
            </w:r>
            <w:r w:rsidRPr="00BC398A">
              <w:rPr>
                <w:rFonts w:ascii="Humnst777 BT" w:eastAsia="Humnst777 BT" w:hAnsi="Humnst777 BT" w:cs="Humnst777 BT"/>
                <w:color w:val="000000"/>
                <w:sz w:val="16"/>
                <w:vertAlign w:val="superscript"/>
                <w:lang w:val="fr-CA"/>
              </w:rPr>
              <w:t>3)</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1,00</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1,15</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Flux de trésorerie disponibles </w:t>
            </w:r>
            <w:r w:rsidRPr="00BC398A">
              <w:rPr>
                <w:rFonts w:ascii="Humnst777 BT" w:eastAsia="Humnst777 BT" w:hAnsi="Humnst777 BT" w:cs="Humnst777 BT"/>
                <w:i/>
                <w:color w:val="000000"/>
                <w:sz w:val="16"/>
                <w:lang w:val="fr-CA"/>
              </w:rPr>
              <w:t xml:space="preserve">(en millions de dollars) </w:t>
            </w:r>
            <w:r w:rsidRPr="00BC398A">
              <w:rPr>
                <w:rFonts w:ascii="Humnst777 BT" w:eastAsia="Humnst777 BT" w:hAnsi="Humnst777 BT" w:cs="Humnst777 BT"/>
                <w:color w:val="000000"/>
                <w:sz w:val="16"/>
                <w:vertAlign w:val="superscript"/>
                <w:lang w:val="fr-CA"/>
              </w:rPr>
              <w:t>3)</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322</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848</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Acquisitions brutes d’immobilisations </w:t>
            </w:r>
            <w:r w:rsidRPr="00BC398A">
              <w:rPr>
                <w:rFonts w:ascii="Humnst777 BT" w:eastAsia="Humnst777 BT" w:hAnsi="Humnst777 BT" w:cs="Humnst777 BT"/>
                <w:i/>
                <w:color w:val="000000"/>
                <w:sz w:val="16"/>
                <w:lang w:val="fr-CA"/>
              </w:rPr>
              <w:t>(en millions de dollars)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425</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396</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Rachats d’actions </w:t>
            </w:r>
            <w:r w:rsidRPr="00BC398A">
              <w:rPr>
                <w:rFonts w:ascii="Humnst777 BT" w:eastAsia="Humnst777 BT" w:hAnsi="Humnst777 BT" w:cs="Humnst777 BT"/>
                <w:i/>
                <w:color w:val="000000"/>
                <w:sz w:val="16"/>
                <w:lang w:val="fr-CA"/>
              </w:rPr>
              <w:t>(en millions de dollars)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631</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491</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Dividendes par action </w:t>
            </w:r>
            <w:r w:rsidRPr="00BC398A">
              <w:rPr>
                <w:rFonts w:ascii="Humnst777 BT" w:eastAsia="Humnst777 BT" w:hAnsi="Humnst777 BT" w:cs="Humnst777 BT"/>
                <w:i/>
                <w:color w:val="000000"/>
                <w:sz w:val="16"/>
                <w:lang w:val="fr-CA"/>
              </w:rPr>
              <w:t>(en dollar)</w:t>
            </w:r>
          </w:p>
        </w:tc>
        <w:tc>
          <w:tcPr>
            <w:tcW w:w="1125"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0,4550</w:t>
            </w:r>
          </w:p>
        </w:tc>
        <w:tc>
          <w:tcPr>
            <w:tcW w:w="1125"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0,4125</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550"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i/>
                <w:color w:val="000000"/>
                <w:sz w:val="16"/>
              </w:rPr>
            </w:pPr>
            <w:r>
              <w:rPr>
                <w:rFonts w:ascii="Humnst777 BT" w:eastAsia="Humnst777 BT" w:hAnsi="Humnst777 BT" w:cs="Humnst777 BT"/>
                <w:b/>
                <w:i/>
                <w:color w:val="000000"/>
                <w:sz w:val="16"/>
              </w:rPr>
              <w:t xml:space="preserve">Situation financière </w:t>
            </w:r>
            <w:r>
              <w:rPr>
                <w:rFonts w:ascii="Humnst777 BT" w:eastAsia="Humnst777 BT" w:hAnsi="Humnst777 BT" w:cs="Humnst777 BT"/>
                <w:color w:val="000000"/>
                <w:sz w:val="16"/>
                <w:vertAlign w:val="superscript"/>
              </w:rPr>
              <w:t>1)</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b/>
                <w:color w:val="000000"/>
                <w:sz w:val="22"/>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Actif total </w:t>
            </w:r>
            <w:r w:rsidRPr="00BC398A">
              <w:rPr>
                <w:rFonts w:ascii="Humnst777 BT" w:eastAsia="Humnst777 BT" w:hAnsi="Humnst777 BT" w:cs="Humnst777 BT"/>
                <w:i/>
                <w:color w:val="000000"/>
                <w:sz w:val="16"/>
                <w:lang w:val="fr-CA"/>
              </w:rPr>
              <w:t xml:space="preserve">(en millions de dollars) </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38 758</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37 330</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Passif total </w:t>
            </w:r>
            <w:r w:rsidRPr="00BC398A">
              <w:rPr>
                <w:rFonts w:ascii="Humnst777 BT" w:eastAsia="Humnst777 BT" w:hAnsi="Humnst777 BT" w:cs="Humnst777 BT"/>
                <w:i/>
                <w:color w:val="000000"/>
                <w:sz w:val="16"/>
                <w:lang w:val="fr-CA"/>
              </w:rPr>
              <w:t xml:space="preserve">(en millions de dollars) </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22 170</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22 448</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Avoir des actionnaires </w:t>
            </w:r>
            <w:r w:rsidRPr="00BC398A">
              <w:rPr>
                <w:rFonts w:ascii="Humnst777 BT" w:eastAsia="Humnst777 BT" w:hAnsi="Humnst777 BT" w:cs="Humnst777 BT"/>
                <w:i/>
                <w:color w:val="000000"/>
                <w:sz w:val="16"/>
                <w:lang w:val="fr-CA"/>
              </w:rPr>
              <w:t>(en millions de dollars)</w:t>
            </w:r>
          </w:p>
        </w:tc>
        <w:tc>
          <w:tcPr>
            <w:tcW w:w="1125"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16 588</w:t>
            </w:r>
          </w:p>
        </w:tc>
        <w:tc>
          <w:tcPr>
            <w:tcW w:w="1125"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14 882</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550"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i/>
                <w:color w:val="000000"/>
                <w:sz w:val="16"/>
              </w:rPr>
            </w:pPr>
            <w:r>
              <w:rPr>
                <w:rFonts w:ascii="Humnst777 BT" w:eastAsia="Humnst777 BT" w:hAnsi="Humnst777 BT" w:cs="Humnst777 BT"/>
                <w:b/>
                <w:i/>
                <w:color w:val="000000"/>
                <w:sz w:val="16"/>
              </w:rPr>
              <w:t xml:space="preserve">Ratio </w:t>
            </w:r>
            <w:r>
              <w:rPr>
                <w:rFonts w:ascii="Humnst777 BT" w:eastAsia="Humnst777 BT" w:hAnsi="Humnst777 BT" w:cs="Humnst777 BT"/>
                <w:b/>
                <w:i/>
                <w:color w:val="000000"/>
                <w:sz w:val="16"/>
              </w:rPr>
              <w:t>financier</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Arial" w:eastAsia="Arial" w:hAnsi="Arial" w:cs="Arial"/>
                <w:b/>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 xml:space="preserve">Ratio d’exploitation </w:t>
            </w:r>
            <w:r>
              <w:rPr>
                <w:rFonts w:ascii="Humnst777 BT" w:eastAsia="Humnst777 BT" w:hAnsi="Humnst777 BT" w:cs="Humnst777 BT"/>
                <w:i/>
                <w:color w:val="000000"/>
                <w:sz w:val="16"/>
              </w:rPr>
              <w:t xml:space="preserve">(%) </w:t>
            </w:r>
            <w:r>
              <w:rPr>
                <w:rFonts w:ascii="Humnst777 BT" w:eastAsia="Humnst777 BT" w:hAnsi="Humnst777 BT" w:cs="Humnst777 BT"/>
                <w:color w:val="000000"/>
                <w:sz w:val="16"/>
                <w:vertAlign w:val="superscript"/>
              </w:rPr>
              <w:t>2) 4)</w:t>
            </w:r>
          </w:p>
        </w:tc>
        <w:tc>
          <w:tcPr>
            <w:tcW w:w="1125" w:type="dxa"/>
            <w:tcBorders>
              <w:top w:val="nil"/>
              <w:left w:val="nil"/>
              <w:bottom w:val="single" w:sz="12"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67,8</w:t>
            </w:r>
          </w:p>
        </w:tc>
        <w:tc>
          <w:tcPr>
            <w:tcW w:w="1125" w:type="dxa"/>
            <w:tcBorders>
              <w:top w:val="nil"/>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61,8</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 xml:space="preserve">Mesures d’exploitation </w:t>
            </w:r>
            <w:r>
              <w:rPr>
                <w:rFonts w:ascii="Humnst777 BT" w:eastAsia="Humnst777 BT" w:hAnsi="Humnst777 BT" w:cs="Humnst777 BT"/>
                <w:color w:val="000000"/>
                <w:sz w:val="16"/>
                <w:vertAlign w:val="superscript"/>
              </w:rPr>
              <w:t>5)</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b/>
                <w:color w:val="000000"/>
                <w:sz w:val="22"/>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center"/>
              <w:rPr>
                <w:rFonts w:ascii="Humnst777 BT" w:eastAsia="Humnst777 BT" w:hAnsi="Humnst777 BT" w:cs="Humnst777 BT"/>
                <w:i/>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i/>
                <w:color w:val="000000"/>
                <w:sz w:val="16"/>
              </w:rPr>
            </w:pPr>
            <w:r>
              <w:rPr>
                <w:rFonts w:ascii="Humnst777 BT" w:eastAsia="Humnst777 BT" w:hAnsi="Humnst777 BT" w:cs="Humnst777 BT"/>
                <w:b/>
                <w:i/>
                <w:color w:val="000000"/>
                <w:sz w:val="16"/>
              </w:rPr>
              <w:t>Statistiques d’exploitation</w:t>
            </w: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b/>
                <w:color w:val="000000"/>
                <w:sz w:val="22"/>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Tonnes-milles brutes (TMB) </w:t>
            </w:r>
            <w:r w:rsidRPr="00BC398A">
              <w:rPr>
                <w:rFonts w:ascii="Humnst777 BT" w:eastAsia="Humnst777 BT" w:hAnsi="Humnst777 BT" w:cs="Humnst777 BT"/>
                <w:i/>
                <w:color w:val="000000"/>
                <w:sz w:val="16"/>
                <w:lang w:val="fr-CA"/>
              </w:rPr>
              <w:t>(en millions)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113 040</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116 235</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Tonnes-milles commerciales (TMC) </w:t>
            </w:r>
            <w:r w:rsidRPr="00BC398A">
              <w:rPr>
                <w:rFonts w:ascii="Humnst777 BT" w:eastAsia="Humnst777 BT" w:hAnsi="Humnst777 BT" w:cs="Humnst777 BT"/>
                <w:i/>
                <w:color w:val="000000"/>
                <w:sz w:val="16"/>
                <w:lang w:val="fr-CA"/>
              </w:rPr>
              <w:t>(en millions)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57 185</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59 776</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 xml:space="preserve">Wagons complets </w:t>
            </w:r>
            <w:r>
              <w:rPr>
                <w:rFonts w:ascii="Humnst777 BT" w:eastAsia="Humnst777 BT" w:hAnsi="Humnst777 BT" w:cs="Humnst777 BT"/>
                <w:i/>
                <w:color w:val="000000"/>
                <w:sz w:val="16"/>
              </w:rPr>
              <w:t xml:space="preserve">(en </w:t>
            </w:r>
            <w:r>
              <w:rPr>
                <w:rFonts w:ascii="Humnst777 BT" w:eastAsia="Humnst777 BT" w:hAnsi="Humnst777 BT" w:cs="Humnst777 BT"/>
                <w:i/>
                <w:color w:val="000000"/>
                <w:sz w:val="16"/>
              </w:rPr>
              <w:t>milliers)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1 408</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1 368</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Milles de parcours </w:t>
            </w:r>
            <w:r w:rsidRPr="00BC398A">
              <w:rPr>
                <w:rFonts w:ascii="Humnst777 BT" w:eastAsia="Humnst777 BT" w:hAnsi="Humnst777 BT" w:cs="Humnst777 BT"/>
                <w:i/>
                <w:color w:val="000000"/>
                <w:sz w:val="16"/>
                <w:lang w:val="fr-CA"/>
              </w:rPr>
              <w:t>(Canada et États-Unis)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19 500</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19 600</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Effectif </w:t>
            </w:r>
            <w:r w:rsidRPr="00BC398A">
              <w:rPr>
                <w:rFonts w:ascii="Humnst777 BT" w:eastAsia="Humnst777 BT" w:hAnsi="Humnst777 BT" w:cs="Humnst777 BT"/>
                <w:i/>
                <w:color w:val="000000"/>
                <w:sz w:val="16"/>
                <w:lang w:val="fr-CA"/>
              </w:rPr>
              <w:t>(à la fin de la période)</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24 812</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22 549</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Effectif </w:t>
            </w:r>
            <w:r w:rsidRPr="00BC398A">
              <w:rPr>
                <w:rFonts w:ascii="Humnst777 BT" w:eastAsia="Humnst777 BT" w:hAnsi="Humnst777 BT" w:cs="Humnst777 BT"/>
                <w:i/>
                <w:color w:val="000000"/>
                <w:sz w:val="16"/>
                <w:lang w:val="fr-CA"/>
              </w:rPr>
              <w:t>(moyenne de la période)</w:t>
            </w:r>
          </w:p>
        </w:tc>
        <w:tc>
          <w:tcPr>
            <w:tcW w:w="1125"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24 467</w:t>
            </w:r>
          </w:p>
        </w:tc>
        <w:tc>
          <w:tcPr>
            <w:tcW w:w="1125"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22 396</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550"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i/>
                <w:color w:val="000000"/>
                <w:sz w:val="16"/>
              </w:rPr>
            </w:pPr>
            <w:r>
              <w:rPr>
                <w:rFonts w:ascii="Humnst777 BT" w:eastAsia="Humnst777 BT" w:hAnsi="Humnst777 BT" w:cs="Humnst777 BT"/>
                <w:b/>
                <w:i/>
                <w:color w:val="000000"/>
                <w:sz w:val="16"/>
              </w:rPr>
              <w:t>Mesures d’exploitation clés</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b/>
                <w:color w:val="000000"/>
                <w:sz w:val="22"/>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Produits marchandises ferroviaires par TMC </w:t>
            </w:r>
            <w:r w:rsidRPr="00BC398A">
              <w:rPr>
                <w:rFonts w:ascii="Humnst777 BT" w:eastAsia="Humnst777 BT" w:hAnsi="Humnst777 BT" w:cs="Humnst777 BT"/>
                <w:i/>
                <w:color w:val="000000"/>
                <w:sz w:val="16"/>
                <w:lang w:val="fr-CA"/>
              </w:rPr>
              <w:t xml:space="preserve">(en </w:t>
            </w:r>
            <w:r w:rsidRPr="00BC398A">
              <w:rPr>
                <w:rFonts w:ascii="Humnst777 BT" w:eastAsia="Humnst777 BT" w:hAnsi="Humnst777 BT" w:cs="Humnst777 BT"/>
                <w:i/>
                <w:color w:val="000000"/>
                <w:sz w:val="16"/>
                <w:lang w:val="fr-CA"/>
              </w:rPr>
              <w:t>cents)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5,36</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5,14</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Produits marchandises ferroviaires par wagon complet </w:t>
            </w:r>
            <w:r w:rsidRPr="00BC398A">
              <w:rPr>
                <w:rFonts w:ascii="Humnst777 BT" w:eastAsia="Humnst777 BT" w:hAnsi="Humnst777 BT" w:cs="Humnst777 BT"/>
                <w:i/>
                <w:color w:val="000000"/>
                <w:sz w:val="16"/>
                <w:lang w:val="fr-CA"/>
              </w:rPr>
              <w:t>(en dollars)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2 178</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2 248</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TMB par effectif moyen </w:t>
            </w:r>
            <w:r w:rsidRPr="00BC398A">
              <w:rPr>
                <w:rFonts w:ascii="Humnst777 BT" w:eastAsia="Humnst777 BT" w:hAnsi="Humnst777 BT" w:cs="Humnst777 BT"/>
                <w:i/>
                <w:color w:val="000000"/>
                <w:sz w:val="16"/>
                <w:lang w:val="fr-CA"/>
              </w:rPr>
              <w:t>(en milliers)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4 620</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5 190</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Charges d’exploitation par TMB </w:t>
            </w:r>
            <w:r w:rsidRPr="00BC398A">
              <w:rPr>
                <w:rFonts w:ascii="Humnst777 BT" w:eastAsia="Humnst777 BT" w:hAnsi="Humnst777 BT" w:cs="Humnst777 BT"/>
                <w:i/>
                <w:color w:val="000000"/>
                <w:sz w:val="16"/>
                <w:lang w:val="fr-CA"/>
              </w:rPr>
              <w:t xml:space="preserve">(en cents) </w:t>
            </w:r>
            <w:r w:rsidRPr="00BC398A">
              <w:rPr>
                <w:rFonts w:ascii="Humnst777 BT" w:eastAsia="Humnst777 BT" w:hAnsi="Humnst777 BT" w:cs="Humnst777 BT"/>
                <w:color w:val="000000"/>
                <w:sz w:val="16"/>
                <w:vertAlign w:val="superscript"/>
                <w:lang w:val="fr-CA"/>
              </w:rPr>
              <w:t>2)</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1,91</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1,71</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Charges de main-d’œuvre et d’avantages sociaux par TMB </w:t>
            </w:r>
            <w:r w:rsidRPr="00BC398A">
              <w:rPr>
                <w:rFonts w:ascii="Humnst777 BT" w:eastAsia="Humnst777 BT" w:hAnsi="Humnst777 BT" w:cs="Humnst777 BT"/>
                <w:i/>
                <w:color w:val="000000"/>
                <w:sz w:val="16"/>
                <w:lang w:val="fr-CA"/>
              </w:rPr>
              <w:t xml:space="preserve">(en cents) </w:t>
            </w:r>
            <w:r w:rsidRPr="00BC398A">
              <w:rPr>
                <w:rFonts w:ascii="Humnst777 BT" w:eastAsia="Humnst777 BT" w:hAnsi="Humnst777 BT" w:cs="Humnst777 BT"/>
                <w:color w:val="000000"/>
                <w:sz w:val="16"/>
                <w:vertAlign w:val="superscript"/>
                <w:lang w:val="fr-CA"/>
              </w:rPr>
              <w:t>2)</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0,63</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0,57</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Carburant diesel consommé </w:t>
            </w:r>
            <w:r w:rsidRPr="00BC398A">
              <w:rPr>
                <w:rFonts w:ascii="Humnst777 BT" w:eastAsia="Humnst777 BT" w:hAnsi="Humnst777 BT" w:cs="Humnst777 BT"/>
                <w:i/>
                <w:color w:val="000000"/>
                <w:sz w:val="16"/>
                <w:lang w:val="fr-CA"/>
              </w:rPr>
              <w:t>(en millions de gallons US)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112,80</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113,20</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Prix moyen du carburant </w:t>
            </w:r>
            <w:r w:rsidRPr="00BC398A">
              <w:rPr>
                <w:rFonts w:ascii="Humnst777 BT" w:eastAsia="Humnst777 BT" w:hAnsi="Humnst777 BT" w:cs="Humnst777 BT"/>
                <w:i/>
                <w:color w:val="000000"/>
                <w:sz w:val="16"/>
                <w:lang w:val="fr-CA"/>
              </w:rPr>
              <w:t xml:space="preserve">(en dollars par gallon US) </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3,16</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2,76</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TMB par gallon US de carburant consommé</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1 002</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1 027</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Temps de séjour dans les triages </w:t>
            </w:r>
            <w:r w:rsidRPr="00BC398A">
              <w:rPr>
                <w:rFonts w:ascii="Humnst777 BT" w:eastAsia="Humnst777 BT" w:hAnsi="Humnst777 BT" w:cs="Humnst777 BT"/>
                <w:i/>
                <w:color w:val="000000"/>
                <w:sz w:val="16"/>
                <w:lang w:val="fr-CA"/>
              </w:rPr>
              <w:t>(en heures)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21,3</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15,6</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Vitesse des trains </w:t>
            </w:r>
            <w:r w:rsidRPr="00BC398A">
              <w:rPr>
                <w:rFonts w:ascii="Humnst777 BT" w:eastAsia="Humnst777 BT" w:hAnsi="Humnst777 BT" w:cs="Humnst777 BT"/>
                <w:i/>
                <w:color w:val="000000"/>
                <w:sz w:val="16"/>
                <w:lang w:val="fr-CA"/>
              </w:rPr>
              <w:t>(milles par heure)</w:t>
            </w:r>
          </w:p>
        </w:tc>
        <w:tc>
          <w:tcPr>
            <w:tcW w:w="1125"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21,8</w:t>
            </w:r>
          </w:p>
        </w:tc>
        <w:tc>
          <w:tcPr>
            <w:tcW w:w="1125"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25,7</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550" w:type="dxa"/>
            <w:gridSpan w:val="2"/>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i/>
                <w:color w:val="000000"/>
                <w:sz w:val="16"/>
              </w:rPr>
            </w:pPr>
            <w:r>
              <w:rPr>
                <w:rFonts w:ascii="Humnst777 BT" w:eastAsia="Humnst777 BT" w:hAnsi="Humnst777 BT" w:cs="Humnst777 BT"/>
                <w:b/>
                <w:i/>
                <w:color w:val="000000"/>
                <w:sz w:val="16"/>
              </w:rPr>
              <w:t xml:space="preserve">Indicateurs de sécurité </w:t>
            </w:r>
            <w:r>
              <w:rPr>
                <w:rFonts w:ascii="Humnst777 BT" w:eastAsia="Humnst777 BT" w:hAnsi="Humnst777 BT" w:cs="Humnst777 BT"/>
                <w:color w:val="000000"/>
                <w:sz w:val="16"/>
                <w:vertAlign w:val="superscript"/>
              </w:rPr>
              <w:t>6)</w:t>
            </w: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b/>
                <w:color w:val="000000"/>
                <w:sz w:val="22"/>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Taux de fréquence des blessures </w:t>
            </w:r>
            <w:r w:rsidRPr="00BC398A">
              <w:rPr>
                <w:rFonts w:ascii="Humnst777 BT" w:eastAsia="Humnst777 BT" w:hAnsi="Humnst777 BT" w:cs="Humnst777 BT"/>
                <w:i/>
                <w:color w:val="000000"/>
                <w:sz w:val="16"/>
                <w:lang w:val="fr-CA"/>
              </w:rPr>
              <w:t>(par 200 000 heures-personnes)</w:t>
            </w:r>
          </w:p>
        </w:tc>
        <w:tc>
          <w:tcPr>
            <w:tcW w:w="1125"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2,14</w:t>
            </w: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1,89</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8550" w:type="dxa"/>
            <w:gridSpan w:val="2"/>
            <w:tcBorders>
              <w:top w:val="nil"/>
              <w:left w:val="nil"/>
              <w:bottom w:val="single" w:sz="12"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Taux d’accidents </w:t>
            </w:r>
            <w:r w:rsidRPr="00BC398A">
              <w:rPr>
                <w:rFonts w:ascii="Humnst777 BT" w:eastAsia="Humnst777 BT" w:hAnsi="Humnst777 BT" w:cs="Humnst777 BT"/>
                <w:i/>
                <w:color w:val="000000"/>
                <w:sz w:val="16"/>
                <w:lang w:val="fr-CA"/>
              </w:rPr>
              <w:t xml:space="preserve">(par million de </w:t>
            </w:r>
            <w:r w:rsidRPr="00BC398A">
              <w:rPr>
                <w:rFonts w:ascii="Humnst777 BT" w:eastAsia="Humnst777 BT" w:hAnsi="Humnst777 BT" w:cs="Humnst777 BT"/>
                <w:i/>
                <w:color w:val="000000"/>
                <w:sz w:val="16"/>
                <w:lang w:val="fr-CA"/>
              </w:rPr>
              <w:t>trains-milles)</w:t>
            </w:r>
          </w:p>
        </w:tc>
        <w:tc>
          <w:tcPr>
            <w:tcW w:w="1125" w:type="dxa"/>
            <w:tcBorders>
              <w:top w:val="nil"/>
              <w:left w:val="nil"/>
              <w:bottom w:val="single" w:sz="12"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2,17</w:t>
            </w:r>
          </w:p>
        </w:tc>
        <w:tc>
          <w:tcPr>
            <w:tcW w:w="1125" w:type="dxa"/>
            <w:tcBorders>
              <w:top w:val="nil"/>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1,54</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28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26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112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color w:val="000000"/>
                <w:sz w:val="22"/>
              </w:rPr>
            </w:pPr>
          </w:p>
        </w:tc>
        <w:tc>
          <w:tcPr>
            <w:tcW w:w="112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color w:val="000000"/>
                <w:sz w:val="22"/>
              </w:rPr>
            </w:pP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285" w:type="dxa"/>
            <w:tcBorders>
              <w:top w:val="nil"/>
              <w:left w:val="nil"/>
              <w:bottom w:val="nil"/>
              <w:right w:val="nil"/>
              <w:tl2br w:val="nil"/>
              <w:tr2bl w:val="nil"/>
            </w:tcBorders>
            <w:shd w:val="clear" w:color="auto" w:fill="auto"/>
            <w:noWrap/>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1)</w:t>
            </w:r>
          </w:p>
        </w:tc>
        <w:tc>
          <w:tcPr>
            <w:tcW w:w="10515" w:type="dxa"/>
            <w:gridSpan w:val="3"/>
            <w:vMerge w:val="restart"/>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Sauf indication contraire, ces montants sont exprimés en dollars CA et dressés selon les principes comptables généralement reconnus (PCGR) aux États-Unis.</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285" w:type="dxa"/>
            <w:tcBorders>
              <w:top w:val="nil"/>
              <w:left w:val="nil"/>
              <w:bottom w:val="nil"/>
              <w:right w:val="nil"/>
              <w:tl2br w:val="nil"/>
              <w:tr2bl w:val="nil"/>
            </w:tcBorders>
            <w:shd w:val="clear" w:color="auto" w:fill="auto"/>
            <w:noWrap/>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2)</w:t>
            </w:r>
          </w:p>
        </w:tc>
        <w:tc>
          <w:tcPr>
            <w:tcW w:w="10515" w:type="dxa"/>
            <w:gridSpan w:val="3"/>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Pr>
                <w:rFonts w:ascii="Humnst777 BT" w:eastAsia="Humnst777 BT" w:hAnsi="Humnst777 BT" w:cs="Humnst777 BT"/>
                <w:i/>
                <w:color w:val="000000"/>
                <w:sz w:val="14"/>
              </w:rPr>
              <w:t xml:space="preserve">La Compagnie a adopté de façon rétrospective la norme Accounting Standards Update 2017-07: Improving the Presentation of Net Periodic Pension Cost and Net Periodic Postretirement Benefit Cost au premier trimestre de 2018. </w:t>
            </w:r>
            <w:r w:rsidRPr="00BC398A">
              <w:rPr>
                <w:rFonts w:ascii="Humnst777 BT" w:eastAsia="Humnst777 BT" w:hAnsi="Humnst777 BT" w:cs="Humnst777 BT"/>
                <w:i/>
                <w:color w:val="000000"/>
                <w:sz w:val="14"/>
                <w:lang w:val="fr-CA"/>
              </w:rPr>
              <w:t>Les données comparatives ont été r</w:t>
            </w:r>
            <w:r w:rsidRPr="00BC398A">
              <w:rPr>
                <w:rFonts w:ascii="Humnst777 BT" w:eastAsia="Humnst777 BT" w:hAnsi="Humnst777 BT" w:cs="Humnst777 BT"/>
                <w:i/>
                <w:color w:val="000000"/>
                <w:sz w:val="14"/>
                <w:lang w:val="fr-CA"/>
              </w:rPr>
              <w:t xml:space="preserve">ajustées afin de se conformer à la présentation courante. Consulter la Note 2, Recommandations comptables récentes, afférente aux États financiers consolidés intermédiaires non audités de 2018 du CN pour de plus amples renseignements. </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85" w:type="dxa"/>
            <w:tcBorders>
              <w:top w:val="nil"/>
              <w:left w:val="nil"/>
              <w:bottom w:val="nil"/>
              <w:right w:val="nil"/>
              <w:tl2br w:val="nil"/>
              <w:tr2bl w:val="nil"/>
            </w:tcBorders>
            <w:shd w:val="clear" w:color="auto" w:fill="auto"/>
            <w:noWrap/>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3)</w:t>
            </w:r>
          </w:p>
        </w:tc>
        <w:tc>
          <w:tcPr>
            <w:tcW w:w="10515" w:type="dxa"/>
            <w:gridSpan w:val="3"/>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 xml:space="preserve">Consulter la </w:t>
            </w:r>
            <w:r w:rsidRPr="00BC398A">
              <w:rPr>
                <w:rFonts w:ascii="Humnst777 BT" w:eastAsia="Humnst777 BT" w:hAnsi="Humnst777 BT" w:cs="Humnst777 BT"/>
                <w:i/>
                <w:color w:val="000000"/>
                <w:sz w:val="14"/>
                <w:lang w:val="fr-CA"/>
              </w:rPr>
              <w:t>section d’information supplémentaire intitulée Mesures de calcul non conformes aux PCGR pour une explication de ces mesures de calcul non conformes aux PCGR.</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85" w:type="dxa"/>
            <w:tcBorders>
              <w:top w:val="nil"/>
              <w:left w:val="nil"/>
              <w:bottom w:val="nil"/>
              <w:right w:val="nil"/>
              <w:tl2br w:val="nil"/>
              <w:tr2bl w:val="nil"/>
            </w:tcBorders>
            <w:shd w:val="clear" w:color="auto" w:fill="auto"/>
            <w:noWrap/>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4)</w:t>
            </w:r>
          </w:p>
        </w:tc>
        <w:tc>
          <w:tcPr>
            <w:tcW w:w="10515" w:type="dxa"/>
            <w:gridSpan w:val="3"/>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Pour les trois mois terminés les 31 mars 2018 et 2017, le ratio d’exploitation de la Compagnie</w:t>
            </w:r>
            <w:r w:rsidRPr="00BC398A">
              <w:rPr>
                <w:rFonts w:ascii="Humnst777 BT" w:eastAsia="Humnst777 BT" w:hAnsi="Humnst777 BT" w:cs="Humnst777 BT"/>
                <w:i/>
                <w:color w:val="000000"/>
                <w:sz w:val="14"/>
                <w:lang w:val="fr-CA"/>
              </w:rPr>
              <w:t xml:space="preserve"> a augmenté de 2,5 % et 2,4 %, respectivement, en raison de l’adoption de la norme ASU 2017-07: Improving the Presentation of Net Periodic Pension Cost and Net Periodic Postretirement Benefit Cost.</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285" w:type="dxa"/>
            <w:tcBorders>
              <w:top w:val="nil"/>
              <w:left w:val="nil"/>
              <w:bottom w:val="nil"/>
              <w:right w:val="nil"/>
              <w:tl2br w:val="nil"/>
              <w:tr2bl w:val="nil"/>
            </w:tcBorders>
            <w:shd w:val="clear" w:color="auto" w:fill="auto"/>
            <w:noWrap/>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5)</w:t>
            </w:r>
          </w:p>
        </w:tc>
        <w:tc>
          <w:tcPr>
            <w:tcW w:w="10515" w:type="dxa"/>
            <w:gridSpan w:val="3"/>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Les statistiques d’exploitation, les mesures d’exploit</w:t>
            </w:r>
            <w:r w:rsidRPr="00BC398A">
              <w:rPr>
                <w:rFonts w:ascii="Humnst777 BT" w:eastAsia="Humnst777 BT" w:hAnsi="Humnst777 BT" w:cs="Humnst777 BT"/>
                <w:i/>
                <w:color w:val="000000"/>
                <w:sz w:val="14"/>
                <w:lang w:val="fr-CA"/>
              </w:rPr>
              <w:t>ation clés et les indicateurs de sécurité sont non audités et sont établis à partir des données estimées alors connues, et ils peuvent être modifiés lorsque de l’information plus complète devient disponible; par conséquent, certaines données comparatives o</w:t>
            </w:r>
            <w:r w:rsidRPr="00BC398A">
              <w:rPr>
                <w:rFonts w:ascii="Humnst777 BT" w:eastAsia="Humnst777 BT" w:hAnsi="Humnst777 BT" w:cs="Humnst777 BT"/>
                <w:i/>
                <w:color w:val="000000"/>
                <w:sz w:val="14"/>
                <w:lang w:val="fr-CA"/>
              </w:rPr>
              <w:t xml:space="preserve">nt été retraitées. Les définitions de ces indicateurs sont données sur le site Web du CN, au </w:t>
            </w:r>
            <w:r w:rsidRPr="00BC398A">
              <w:rPr>
                <w:rFonts w:ascii="Humnst777 BT" w:eastAsia="Humnst777 BT" w:hAnsi="Humnst777 BT" w:cs="Humnst777 BT"/>
                <w:i/>
                <w:color w:val="000000"/>
                <w:sz w:val="14"/>
                <w:u w:val="single"/>
                <w:lang w:val="fr-CA"/>
              </w:rPr>
              <w:t>www.cn.ca/glossaire</w:t>
            </w:r>
            <w:r w:rsidRPr="00BC398A">
              <w:rPr>
                <w:rFonts w:ascii="Humnst777 BT" w:eastAsia="Humnst777 BT" w:hAnsi="Humnst777 BT" w:cs="Humnst777 BT"/>
                <w:i/>
                <w:color w:val="000000"/>
                <w:sz w:val="14"/>
                <w:lang w:val="fr-CA"/>
              </w:rPr>
              <w:t>.</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85" w:type="dxa"/>
            <w:tcBorders>
              <w:top w:val="nil"/>
              <w:left w:val="nil"/>
              <w:bottom w:val="nil"/>
              <w:right w:val="nil"/>
              <w:tl2br w:val="nil"/>
              <w:tr2bl w:val="nil"/>
            </w:tcBorders>
            <w:shd w:val="clear" w:color="auto" w:fill="auto"/>
            <w:noWrap/>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6)</w:t>
            </w:r>
          </w:p>
        </w:tc>
        <w:tc>
          <w:tcPr>
            <w:tcW w:w="10515" w:type="dxa"/>
            <w:gridSpan w:val="3"/>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Selon les critères de divulgation de la Federal Railroad Administration (FRA).</w:t>
            </w:r>
          </w:p>
        </w:tc>
      </w:tr>
    </w:tbl>
    <w:p w:rsidR="00A40E1E" w:rsidRPr="00BC398A" w:rsidRDefault="00A40E1E">
      <w:pPr>
        <w:rPr>
          <w:lang w:val="fr-CA"/>
        </w:rPr>
        <w:sectPr w:rsidR="00A40E1E" w:rsidRPr="00BC398A">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720" w:bottom="720" w:left="720" w:header="432" w:footer="259" w:gutter="0"/>
          <w:pgBorders>
            <w:top w:val="nil"/>
            <w:left w:val="nil"/>
            <w:bottom w:val="nil"/>
            <w:right w:val="nil"/>
          </w:pgBorders>
          <w:cols w:space="720"/>
        </w:sectPr>
      </w:pPr>
      <w:bookmarkStart w:id="0" w:name="_GoBack"/>
      <w:bookmarkEnd w:id="0"/>
    </w:p>
    <w:tbl>
      <w:tblPr>
        <w:tblStyle w:val="CDMRange2"/>
        <w:tblW w:w="10800" w:type="dxa"/>
        <w:tblLook w:val="0600" w:firstRow="0" w:lastRow="0" w:firstColumn="0" w:lastColumn="0" w:noHBand="1" w:noVBand="1"/>
      </w:tblPr>
      <w:tblGrid>
        <w:gridCol w:w="301"/>
        <w:gridCol w:w="3061"/>
        <w:gridCol w:w="3751"/>
        <w:gridCol w:w="826"/>
        <w:gridCol w:w="826"/>
        <w:gridCol w:w="916"/>
        <w:gridCol w:w="106"/>
        <w:gridCol w:w="1141"/>
      </w:tblGrid>
      <w:tr w:rsidR="00A40E1E" w:rsidRPr="00BC398A">
        <w:trPr>
          <w:cantSplit/>
          <w:trHeight w:val="300"/>
        </w:trPr>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pageBreakBefore/>
              <w:rPr>
                <w:rFonts w:ascii="Humnst777 BT" w:eastAsia="Humnst777 BT" w:hAnsi="Humnst777 BT" w:cs="Humnst777 BT"/>
                <w:color w:val="000000"/>
                <w:sz w:val="16"/>
                <w:lang w:val="fr-CA"/>
              </w:rPr>
            </w:pPr>
          </w:p>
        </w:tc>
        <w:tc>
          <w:tcPr>
            <w:tcW w:w="304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3735" w:type="dxa"/>
            <w:gridSpan w:val="5"/>
            <w:tcBorders>
              <w:top w:val="nil"/>
              <w:left w:val="nil"/>
              <w:bottom w:val="single" w:sz="4" w:space="0" w:color="000000"/>
              <w:right w:val="nil"/>
              <w:tl2br w:val="nil"/>
              <w:tr2bl w:val="nil"/>
            </w:tcBorders>
            <w:shd w:val="clear" w:color="auto" w:fill="auto"/>
            <w:tcMar>
              <w:left w:w="29" w:type="dxa"/>
              <w:right w:w="29" w:type="dxa"/>
            </w:tcMar>
            <w:vAlign w:val="bottom"/>
          </w:tcPr>
          <w:p w:rsidR="00A40E1E" w:rsidRPr="00BC398A" w:rsidRDefault="00BC398A">
            <w:pPr>
              <w:keepNext/>
              <w:jc w:val="center"/>
              <w:rPr>
                <w:rFonts w:ascii="Humnst777 BT" w:eastAsia="Humnst777 BT" w:hAnsi="Humnst777 BT" w:cs="Humnst777 BT"/>
                <w:b/>
                <w:color w:val="000000"/>
                <w:sz w:val="16"/>
                <w:lang w:val="fr-CA"/>
              </w:rPr>
            </w:pPr>
            <w:r w:rsidRPr="00BC398A">
              <w:rPr>
                <w:rFonts w:ascii="Humnst777 BT" w:eastAsia="Humnst777 BT" w:hAnsi="Humnst777 BT" w:cs="Humnst777 BT"/>
                <w:b/>
                <w:color w:val="000000"/>
                <w:sz w:val="16"/>
                <w:lang w:val="fr-CA"/>
              </w:rPr>
              <w:t>Pour les trois mois terminés le 31 mars</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0"/>
        </w:trPr>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304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373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810"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2018</w:t>
            </w:r>
          </w:p>
        </w:tc>
        <w:tc>
          <w:tcPr>
            <w:tcW w:w="810"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2017</w:t>
            </w:r>
          </w:p>
        </w:tc>
        <w:tc>
          <w:tcPr>
            <w:tcW w:w="900" w:type="dxa"/>
            <w:tcBorders>
              <w:top w:val="single" w:sz="4" w:space="0" w:color="000000"/>
              <w:left w:val="nil"/>
              <w:bottom w:val="single" w:sz="4" w:space="0" w:color="000000"/>
              <w:right w:val="nil"/>
              <w:tl2br w:val="nil"/>
              <w:tr2bl w:val="nil"/>
            </w:tcBorders>
            <w:shd w:val="clear" w:color="auto" w:fill="auto"/>
            <w:tcMar>
              <w:left w:w="29" w:type="dxa"/>
              <w:right w:w="29" w:type="dxa"/>
            </w:tcMar>
            <w:vAlign w:val="bottom"/>
          </w:tcPr>
          <w:p w:rsidR="00A40E1E" w:rsidRDefault="00BC398A">
            <w:pPr>
              <w:keepNext/>
              <w:jc w:val="right"/>
              <w:rPr>
                <w:rFonts w:ascii="Humnst777 BT" w:eastAsia="Humnst777 BT" w:hAnsi="Humnst777 BT" w:cs="Humnst777 BT"/>
                <w:color w:val="000000"/>
                <w:sz w:val="14"/>
              </w:rPr>
            </w:pPr>
            <w:r>
              <w:rPr>
                <w:rFonts w:ascii="Humnst777 BT" w:eastAsia="Humnst777 BT" w:hAnsi="Humnst777 BT" w:cs="Humnst777 BT"/>
                <w:color w:val="000000"/>
                <w:sz w:val="15"/>
              </w:rPr>
              <w:t xml:space="preserve">Variation </w:t>
            </w:r>
          </w:p>
          <w:p w:rsidR="00A40E1E" w:rsidRDefault="00BC398A">
            <w:pPr>
              <w:keepNext/>
              <w:jc w:val="right"/>
              <w:rPr>
                <w:rFonts w:ascii="Humnst777 BT" w:eastAsia="Humnst777 BT" w:hAnsi="Humnst777 BT" w:cs="Humnst777 BT"/>
                <w:color w:val="000000"/>
                <w:sz w:val="14"/>
              </w:rPr>
            </w:pPr>
            <w:r>
              <w:rPr>
                <w:rFonts w:ascii="Humnst777 BT" w:eastAsia="Humnst777 BT" w:hAnsi="Humnst777 BT" w:cs="Humnst777 BT"/>
                <w:color w:val="000000"/>
                <w:sz w:val="15"/>
              </w:rPr>
              <w:t xml:space="preserve">en % </w:t>
            </w:r>
          </w:p>
          <w:p w:rsidR="00A40E1E" w:rsidRDefault="00BC398A">
            <w:pPr>
              <w:keepNext/>
              <w:jc w:val="right"/>
              <w:rPr>
                <w:rFonts w:ascii="Humnst777 BT" w:eastAsia="Humnst777 BT" w:hAnsi="Humnst777 BT" w:cs="Humnst777 BT"/>
                <w:color w:val="000000"/>
                <w:sz w:val="14"/>
              </w:rPr>
            </w:pPr>
            <w:r>
              <w:rPr>
                <w:rFonts w:ascii="Humnst777 BT" w:eastAsia="Humnst777 BT" w:hAnsi="Humnst777 BT" w:cs="Humnst777 BT"/>
                <w:color w:val="000000"/>
                <w:sz w:val="15"/>
              </w:rPr>
              <w:t>fav. (défav.)</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tcMar>
              <w:left w:w="29" w:type="dxa"/>
              <w:right w:w="29" w:type="dxa"/>
            </w:tcMar>
            <w:vAlign w:val="bottom"/>
          </w:tcPr>
          <w:p w:rsidR="00A40E1E" w:rsidRPr="00BC398A" w:rsidRDefault="00BC398A">
            <w:pPr>
              <w:keepNext/>
              <w:jc w:val="right"/>
              <w:rPr>
                <w:rFonts w:ascii="Humnst777 BT" w:eastAsia="Humnst777 BT" w:hAnsi="Humnst777 BT" w:cs="Humnst777 BT"/>
                <w:color w:val="000000"/>
                <w:sz w:val="14"/>
                <w:lang w:val="fr-CA"/>
              </w:rPr>
            </w:pPr>
            <w:r w:rsidRPr="00BC398A">
              <w:rPr>
                <w:rFonts w:ascii="Humnst777 BT" w:eastAsia="Humnst777 BT" w:hAnsi="Humnst777 BT" w:cs="Humnst777 BT"/>
                <w:color w:val="000000"/>
                <w:sz w:val="15"/>
                <w:lang w:val="fr-CA"/>
              </w:rPr>
              <w:t>Variation en</w:t>
            </w:r>
          </w:p>
          <w:p w:rsidR="00A40E1E" w:rsidRPr="00BC398A" w:rsidRDefault="00BC398A">
            <w:pPr>
              <w:keepNext/>
              <w:jc w:val="right"/>
              <w:rPr>
                <w:rFonts w:ascii="Humnst777 BT" w:eastAsia="Humnst777 BT" w:hAnsi="Humnst777 BT" w:cs="Humnst777 BT"/>
                <w:color w:val="000000"/>
                <w:sz w:val="14"/>
                <w:lang w:val="fr-CA"/>
              </w:rPr>
            </w:pPr>
            <w:r w:rsidRPr="00BC398A">
              <w:rPr>
                <w:rFonts w:ascii="Humnst777 BT" w:eastAsia="Humnst777 BT" w:hAnsi="Humnst777 BT" w:cs="Humnst777 BT"/>
                <w:color w:val="000000"/>
                <w:sz w:val="15"/>
                <w:lang w:val="fr-CA"/>
              </w:rPr>
              <w:t xml:space="preserve">%, en devise constante </w:t>
            </w:r>
          </w:p>
          <w:p w:rsidR="00A40E1E" w:rsidRDefault="00BC398A">
            <w:pPr>
              <w:keepNext/>
              <w:jc w:val="right"/>
              <w:rPr>
                <w:rFonts w:ascii="Humnst777 BT" w:eastAsia="Humnst777 BT" w:hAnsi="Humnst777 BT" w:cs="Humnst777 BT"/>
                <w:color w:val="000000"/>
                <w:sz w:val="14"/>
              </w:rPr>
            </w:pPr>
            <w:r w:rsidRPr="00BC398A">
              <w:rPr>
                <w:rFonts w:ascii="Humnst777 BT" w:eastAsia="Humnst777 BT" w:hAnsi="Humnst777 BT" w:cs="Humnst777 BT"/>
                <w:color w:val="000000"/>
                <w:sz w:val="15"/>
                <w:lang w:val="fr-CA"/>
              </w:rPr>
              <w:t>fav. (défav.)</w:t>
            </w:r>
            <w:r w:rsidRPr="00BC398A">
              <w:rPr>
                <w:rFonts w:ascii="Humnst777 BT" w:eastAsia="Humnst777 BT" w:hAnsi="Humnst777 BT" w:cs="Humnst777 BT"/>
                <w:color w:val="000000"/>
                <w:sz w:val="15"/>
                <w:vertAlign w:val="superscript"/>
                <w:lang w:val="fr-CA"/>
              </w:rPr>
              <w:t xml:space="preserve"> </w:t>
            </w:r>
            <w:r>
              <w:rPr>
                <w:rFonts w:ascii="Humnst777 BT" w:eastAsia="Humnst777 BT" w:hAnsi="Humnst777 BT" w:cs="Humnst777 BT"/>
                <w:color w:val="000000"/>
                <w:sz w:val="15"/>
                <w:vertAlign w:val="superscript"/>
              </w:rPr>
              <w:t>1</w:t>
            </w:r>
            <w:r>
              <w:rPr>
                <w:rFonts w:ascii="Humnst777 BT" w:eastAsia="Humnst777 BT" w:hAnsi="Humnst777 BT" w:cs="Humnst777 BT"/>
                <w:color w:val="000000"/>
                <w:sz w:val="16"/>
                <w:vertAlign w:val="superscript"/>
              </w:rPr>
              <w:t>)</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065" w:type="dxa"/>
            <w:gridSpan w:val="3"/>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b/>
                <w:color w:val="000000"/>
                <w:sz w:val="16"/>
                <w:lang w:val="fr-CA"/>
              </w:rPr>
            </w:pPr>
            <w:r w:rsidRPr="00BC398A">
              <w:rPr>
                <w:rFonts w:ascii="Humnst777 BT" w:eastAsia="Humnst777 BT" w:hAnsi="Humnst777 BT" w:cs="Humnst777 BT"/>
                <w:b/>
                <w:color w:val="000000"/>
                <w:sz w:val="16"/>
                <w:lang w:val="fr-CA"/>
              </w:rPr>
              <w:t xml:space="preserve">Produits d’exploitation </w:t>
            </w:r>
            <w:r w:rsidRPr="00BC398A">
              <w:rPr>
                <w:rFonts w:ascii="Humnst777 BT" w:eastAsia="Humnst777 BT" w:hAnsi="Humnst777 BT" w:cs="Humnst777 BT"/>
                <w:b/>
                <w:i/>
                <w:color w:val="000000"/>
                <w:sz w:val="16"/>
                <w:lang w:val="fr-CA"/>
              </w:rPr>
              <w:t xml:space="preserve">(en millions de dollars) </w:t>
            </w:r>
            <w:r w:rsidRPr="00BC398A">
              <w:rPr>
                <w:rFonts w:ascii="Humnst777 BT" w:eastAsia="Humnst777 BT" w:hAnsi="Humnst777 BT" w:cs="Humnst777 BT"/>
                <w:color w:val="000000"/>
                <w:sz w:val="16"/>
                <w:vertAlign w:val="superscript"/>
                <w:lang w:val="fr-CA"/>
              </w:rPr>
              <w:t>2)</w:t>
            </w: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center"/>
              <w:rPr>
                <w:rFonts w:ascii="Humnst777 BT" w:eastAsia="Humnst777 BT" w:hAnsi="Humnst777 BT" w:cs="Humnst777 BT"/>
                <w:i/>
                <w:color w:val="000000"/>
                <w:sz w:val="14"/>
                <w:lang w:val="fr-CA"/>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center"/>
              <w:rPr>
                <w:rFonts w:ascii="Humnst777 BT" w:eastAsia="Humnst777 BT" w:hAnsi="Humnst777 BT" w:cs="Humnst777 BT"/>
                <w:i/>
                <w:color w:val="000000"/>
                <w:sz w:val="14"/>
                <w:lang w:val="fr-CA"/>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i/>
                <w:color w:val="000000"/>
                <w:sz w:val="16"/>
                <w:lang w:val="fr-CA"/>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i/>
                <w:color w:val="000000"/>
                <w:sz w:val="16"/>
                <w:lang w:val="fr-CA"/>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i/>
                <w:color w:val="000000"/>
                <w:sz w:val="16"/>
                <w:lang w:val="fr-CA"/>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pétroliers et chimiques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564</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584</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Métaux et minéraux</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388</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361</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forestiers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422</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447</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(6</w:t>
            </w:r>
            <w:r>
              <w:rPr>
                <w:rFonts w:ascii="Humnst777 BT" w:eastAsia="Humnst777 BT" w:hAnsi="Humnst777 BT" w:cs="Humnst777 BT"/>
                <w:color w:val="000000"/>
                <w:sz w:val="16"/>
              </w:rPr>
              <w:t xml:space="preserve">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Charbon</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142</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129</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13 %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céréaliers et engrais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539</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607</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(9 %)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Intermodal</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814</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742</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12 %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Véhicules automobiles</w:t>
            </w:r>
          </w:p>
        </w:tc>
        <w:tc>
          <w:tcPr>
            <w:tcW w:w="373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197</w:t>
            </w:r>
          </w:p>
        </w:tc>
        <w:tc>
          <w:tcPr>
            <w:tcW w:w="81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205</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Total – Produits marchandises ferroviaires</w:t>
            </w:r>
          </w:p>
        </w:tc>
        <w:tc>
          <w:tcPr>
            <w:tcW w:w="37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810" w:type="dxa"/>
            <w:tcBorders>
              <w:top w:val="single" w:sz="4" w:space="0" w:color="000000"/>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3 066</w:t>
            </w:r>
          </w:p>
        </w:tc>
        <w:tc>
          <w:tcPr>
            <w:tcW w:w="810" w:type="dxa"/>
            <w:tcBorders>
              <w:top w:val="single" w:sz="4" w:space="0" w:color="000000"/>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3 075</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 xml:space="preserve">Autres produits </w:t>
            </w:r>
            <w:r>
              <w:rPr>
                <w:rFonts w:ascii="Humnst777 BT" w:eastAsia="Humnst777 BT" w:hAnsi="Humnst777 BT" w:cs="Humnst777 BT"/>
                <w:color w:val="000000"/>
                <w:sz w:val="16"/>
              </w:rPr>
              <w:t>d’exploitation</w:t>
            </w:r>
          </w:p>
        </w:tc>
        <w:tc>
          <w:tcPr>
            <w:tcW w:w="373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128</w:t>
            </w:r>
          </w:p>
        </w:tc>
        <w:tc>
          <w:tcPr>
            <w:tcW w:w="81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131</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330" w:type="dxa"/>
            <w:gridSpan w:val="2"/>
            <w:vMerge w:val="restart"/>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Total – Produits d’exploitation</w:t>
            </w:r>
          </w:p>
        </w:tc>
        <w:tc>
          <w:tcPr>
            <w:tcW w:w="37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810"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3 194</w:t>
            </w:r>
          </w:p>
        </w:tc>
        <w:tc>
          <w:tcPr>
            <w:tcW w:w="810"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3 206</w:t>
            </w:r>
          </w:p>
        </w:tc>
        <w:tc>
          <w:tcPr>
            <w:tcW w:w="90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2 %</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065" w:type="dxa"/>
            <w:gridSpan w:val="3"/>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b/>
                <w:color w:val="000000"/>
                <w:sz w:val="16"/>
                <w:lang w:val="fr-CA"/>
              </w:rPr>
            </w:pPr>
            <w:r w:rsidRPr="00BC398A">
              <w:rPr>
                <w:rFonts w:ascii="Humnst777 BT" w:eastAsia="Humnst777 BT" w:hAnsi="Humnst777 BT" w:cs="Humnst777 BT"/>
                <w:b/>
                <w:color w:val="000000"/>
                <w:sz w:val="16"/>
                <w:lang w:val="fr-CA"/>
              </w:rPr>
              <w:t xml:space="preserve">Tonnes-milles commerciales (TMC) </w:t>
            </w:r>
            <w:r w:rsidRPr="00BC398A">
              <w:rPr>
                <w:rFonts w:ascii="Humnst777 BT" w:eastAsia="Humnst777 BT" w:hAnsi="Humnst777 BT" w:cs="Humnst777 BT"/>
                <w:b/>
                <w:i/>
                <w:color w:val="000000"/>
                <w:sz w:val="16"/>
                <w:lang w:val="fr-CA"/>
              </w:rPr>
              <w:t xml:space="preserve">(en millions) </w:t>
            </w:r>
            <w:r w:rsidRPr="00BC398A">
              <w:rPr>
                <w:rFonts w:ascii="Humnst777 BT" w:eastAsia="Humnst777 BT" w:hAnsi="Humnst777 BT" w:cs="Humnst777 BT"/>
                <w:color w:val="000000"/>
                <w:sz w:val="16"/>
                <w:vertAlign w:val="superscript"/>
                <w:lang w:val="fr-CA"/>
              </w:rPr>
              <w:t>3)</w:t>
            </w: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b/>
                <w:color w:val="000000"/>
                <w:sz w:val="16"/>
                <w:lang w:val="fr-CA"/>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b/>
                <w:color w:val="000000"/>
                <w:sz w:val="16"/>
                <w:lang w:val="fr-CA"/>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color w:val="000000"/>
                <w:sz w:val="16"/>
                <w:lang w:val="fr-CA"/>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color w:val="000000"/>
                <w:sz w:val="16"/>
                <w:lang w:val="fr-CA"/>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color w:val="000000"/>
                <w:sz w:val="16"/>
                <w:lang w:val="fr-CA"/>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pétroliers et chimiques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10 619</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11 828</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Métaux et minéraux</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6 938</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6 443</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forestiers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6 961</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7 690</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(9 %)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(9 %)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Charbon</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3 708</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3 602</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céréaliers et engrais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13 605</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15 487</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(12 %)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(12 %)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Intermodal</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14 368</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13 704</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Véhicules automobiles</w:t>
            </w:r>
          </w:p>
        </w:tc>
        <w:tc>
          <w:tcPr>
            <w:tcW w:w="373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986</w:t>
            </w:r>
          </w:p>
        </w:tc>
        <w:tc>
          <w:tcPr>
            <w:tcW w:w="81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1 022</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330" w:type="dxa"/>
            <w:gridSpan w:val="2"/>
            <w:vMerge w:val="restart"/>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Total – TMC</w:t>
            </w:r>
          </w:p>
        </w:tc>
        <w:tc>
          <w:tcPr>
            <w:tcW w:w="37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810"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57 185</w:t>
            </w:r>
          </w:p>
        </w:tc>
        <w:tc>
          <w:tcPr>
            <w:tcW w:w="810"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59 776</w:t>
            </w:r>
          </w:p>
        </w:tc>
        <w:tc>
          <w:tcPr>
            <w:tcW w:w="900" w:type="dxa"/>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065" w:type="dxa"/>
            <w:gridSpan w:val="3"/>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b/>
                <w:color w:val="000000"/>
                <w:sz w:val="16"/>
                <w:lang w:val="fr-CA"/>
              </w:rPr>
            </w:pPr>
            <w:r w:rsidRPr="00BC398A">
              <w:rPr>
                <w:rFonts w:ascii="Humnst777 BT" w:eastAsia="Humnst777 BT" w:hAnsi="Humnst777 BT" w:cs="Humnst777 BT"/>
                <w:b/>
                <w:color w:val="000000"/>
                <w:sz w:val="16"/>
                <w:lang w:val="fr-CA"/>
              </w:rPr>
              <w:t xml:space="preserve">Produits marchandises ferroviaires/TMC </w:t>
            </w:r>
            <w:r w:rsidRPr="00BC398A">
              <w:rPr>
                <w:rFonts w:ascii="Humnst777 BT" w:eastAsia="Humnst777 BT" w:hAnsi="Humnst777 BT" w:cs="Humnst777 BT"/>
                <w:b/>
                <w:i/>
                <w:color w:val="000000"/>
                <w:sz w:val="16"/>
                <w:lang w:val="fr-CA"/>
              </w:rPr>
              <w:t xml:space="preserve">(en cents) </w:t>
            </w:r>
            <w:r w:rsidRPr="00BC398A">
              <w:rPr>
                <w:rFonts w:ascii="Humnst777 BT" w:eastAsia="Humnst777 BT" w:hAnsi="Humnst777 BT" w:cs="Humnst777 BT"/>
                <w:color w:val="000000"/>
                <w:sz w:val="16"/>
                <w:vertAlign w:val="superscript"/>
                <w:lang w:val="fr-CA"/>
              </w:rPr>
              <w:t>2)</w:t>
            </w:r>
            <w:r w:rsidRPr="00BC398A">
              <w:rPr>
                <w:rFonts w:ascii="Humnst777 BT" w:eastAsia="Humnst777 BT" w:hAnsi="Humnst777 BT" w:cs="Humnst777 BT"/>
                <w:color w:val="000000"/>
                <w:sz w:val="16"/>
                <w:lang w:val="fr-CA"/>
              </w:rPr>
              <w:t xml:space="preserve"> </w:t>
            </w:r>
            <w:r w:rsidRPr="00BC398A">
              <w:rPr>
                <w:rFonts w:ascii="Humnst777 BT" w:eastAsia="Humnst777 BT" w:hAnsi="Humnst777 BT" w:cs="Humnst777 BT"/>
                <w:color w:val="000000"/>
                <w:sz w:val="16"/>
                <w:vertAlign w:val="superscript"/>
                <w:lang w:val="fr-CA"/>
              </w:rPr>
              <w:t>3)</w:t>
            </w: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b/>
                <w:color w:val="FF0000"/>
                <w:sz w:val="16"/>
                <w:lang w:val="fr-CA"/>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FF0000"/>
                <w:sz w:val="16"/>
                <w:lang w:val="fr-CA"/>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tcPr>
          <w:p w:rsidR="00A40E1E" w:rsidRPr="00BC398A" w:rsidRDefault="00A40E1E">
            <w:pPr>
              <w:keepNext/>
              <w:jc w:val="right"/>
              <w:rPr>
                <w:rFonts w:ascii="Humnst777 BT" w:eastAsia="Humnst777 BT" w:hAnsi="Humnst777 BT" w:cs="Humnst777 BT"/>
                <w:color w:val="FF0000"/>
                <w:sz w:val="16"/>
                <w:lang w:val="fr-CA"/>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rsidR="00A40E1E" w:rsidRPr="00BC398A" w:rsidRDefault="00A40E1E">
            <w:pPr>
              <w:keepNext/>
              <w:jc w:val="right"/>
              <w:rPr>
                <w:rFonts w:ascii="Humnst777 BT" w:eastAsia="Humnst777 BT" w:hAnsi="Humnst777 BT" w:cs="Humnst777 BT"/>
                <w:color w:val="FF0000"/>
                <w:sz w:val="16"/>
                <w:lang w:val="fr-CA"/>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tcPr>
          <w:p w:rsidR="00A40E1E" w:rsidRPr="00BC398A" w:rsidRDefault="00A40E1E">
            <w:pPr>
              <w:keepNext/>
              <w:jc w:val="right"/>
              <w:rPr>
                <w:rFonts w:ascii="Humnst777 BT" w:eastAsia="Humnst777 BT" w:hAnsi="Humnst777 BT" w:cs="Humnst777 BT"/>
                <w:color w:val="FF0000"/>
                <w:sz w:val="16"/>
                <w:lang w:val="fr-CA"/>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pétroliers et chimiques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5,31</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4,94</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Métaux et minéraux</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5,59</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5,60</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forestiers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6,06</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5,81</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Charbon</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3,83</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3,58</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céréaliers et</w:t>
            </w:r>
            <w:r>
              <w:rPr>
                <w:rFonts w:ascii="Humnst777 BT" w:eastAsia="Humnst777 BT" w:hAnsi="Humnst777 BT" w:cs="Humnst777 BT"/>
                <w:color w:val="000000"/>
                <w:sz w:val="16"/>
              </w:rPr>
              <w:t xml:space="preserve"> engrais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3,96</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3,92</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Intermodal</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5,67</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5,41</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6 %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Véhicules automobiles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19,98</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20,06</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7065" w:type="dxa"/>
            <w:gridSpan w:val="3"/>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i/>
                <w:color w:val="000000"/>
                <w:sz w:val="16"/>
                <w:lang w:val="fr-CA"/>
              </w:rPr>
            </w:pPr>
            <w:r w:rsidRPr="00BC398A">
              <w:rPr>
                <w:rFonts w:ascii="Humnst777 BT" w:eastAsia="Humnst777 BT" w:hAnsi="Humnst777 BT" w:cs="Humnst777 BT"/>
                <w:i/>
                <w:color w:val="000000"/>
                <w:sz w:val="16"/>
                <w:lang w:val="fr-CA"/>
              </w:rPr>
              <w:t>Total – Produits marchandises ferroviaires/TMC</w:t>
            </w:r>
          </w:p>
        </w:tc>
        <w:tc>
          <w:tcPr>
            <w:tcW w:w="81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5,36</w:t>
            </w:r>
          </w:p>
        </w:tc>
        <w:tc>
          <w:tcPr>
            <w:tcW w:w="81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5,14</w:t>
            </w:r>
          </w:p>
        </w:tc>
        <w:tc>
          <w:tcPr>
            <w:tcW w:w="90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3330"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 xml:space="preserve">Wagons complets </w:t>
            </w:r>
            <w:r>
              <w:rPr>
                <w:rFonts w:ascii="Humnst777 BT" w:eastAsia="Humnst777 BT" w:hAnsi="Humnst777 BT" w:cs="Humnst777 BT"/>
                <w:b/>
                <w:i/>
                <w:color w:val="000000"/>
                <w:sz w:val="16"/>
              </w:rPr>
              <w:t xml:space="preserve">(en milliers) </w:t>
            </w:r>
            <w:r>
              <w:rPr>
                <w:rFonts w:ascii="Humnst777 BT" w:eastAsia="Humnst777 BT" w:hAnsi="Humnst777 BT" w:cs="Humnst777 BT"/>
                <w:color w:val="000000"/>
                <w:sz w:val="16"/>
                <w:vertAlign w:val="superscript"/>
              </w:rPr>
              <w:t>3)</w:t>
            </w:r>
          </w:p>
        </w:tc>
        <w:tc>
          <w:tcPr>
            <w:tcW w:w="373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pétroliers et chimiques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153</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157</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w:t>
            </w:r>
            <w:r>
              <w:rPr>
                <w:rFonts w:ascii="Humnst777 BT" w:eastAsia="Humnst777 BT" w:hAnsi="Humnst777 BT" w:cs="Humnst777 BT"/>
                <w:color w:val="000000"/>
                <w:sz w:val="16"/>
              </w:rPr>
              <w:t xml:space="preserve">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Métaux et minéraux</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242</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232</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forestiers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100</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107</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Charbon</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80</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73</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céréaliers et engrais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145</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164</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(12 %)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(12 %)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Intermodal</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624</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568</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Véhicules automobiles</w:t>
            </w:r>
          </w:p>
        </w:tc>
        <w:tc>
          <w:tcPr>
            <w:tcW w:w="373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64</w:t>
            </w:r>
          </w:p>
        </w:tc>
        <w:tc>
          <w:tcPr>
            <w:tcW w:w="81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67</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330" w:type="dxa"/>
            <w:gridSpan w:val="2"/>
            <w:vMerge w:val="restart"/>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Total</w:t>
            </w:r>
            <w:r>
              <w:rPr>
                <w:rFonts w:ascii="Humnst777 BT" w:eastAsia="Humnst777 BT" w:hAnsi="Humnst777 BT" w:cs="Humnst777 BT"/>
                <w:i/>
                <w:color w:val="000000"/>
                <w:sz w:val="16"/>
              </w:rPr>
              <w:t xml:space="preserve"> – Wagons complets</w:t>
            </w:r>
          </w:p>
        </w:tc>
        <w:tc>
          <w:tcPr>
            <w:tcW w:w="37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810"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1 408</w:t>
            </w:r>
          </w:p>
        </w:tc>
        <w:tc>
          <w:tcPr>
            <w:tcW w:w="810"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1 368</w:t>
            </w:r>
          </w:p>
        </w:tc>
        <w:tc>
          <w:tcPr>
            <w:tcW w:w="90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7065" w:type="dxa"/>
            <w:gridSpan w:val="3"/>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b/>
                <w:color w:val="000000"/>
                <w:sz w:val="16"/>
                <w:lang w:val="fr-CA"/>
              </w:rPr>
            </w:pPr>
            <w:r w:rsidRPr="00BC398A">
              <w:rPr>
                <w:rFonts w:ascii="Humnst777 BT" w:eastAsia="Humnst777 BT" w:hAnsi="Humnst777 BT" w:cs="Humnst777 BT"/>
                <w:b/>
                <w:color w:val="000000"/>
                <w:sz w:val="16"/>
                <w:lang w:val="fr-CA"/>
              </w:rPr>
              <w:t xml:space="preserve">Produits marchandises ferroviaires/wagon complet </w:t>
            </w:r>
            <w:r w:rsidRPr="00BC398A">
              <w:rPr>
                <w:rFonts w:ascii="Humnst777 BT" w:eastAsia="Humnst777 BT" w:hAnsi="Humnst777 BT" w:cs="Humnst777 BT"/>
                <w:b/>
                <w:i/>
                <w:color w:val="000000"/>
                <w:sz w:val="16"/>
                <w:lang w:val="fr-CA"/>
              </w:rPr>
              <w:t xml:space="preserve">(en dollars) </w:t>
            </w:r>
            <w:r w:rsidRPr="00BC398A">
              <w:rPr>
                <w:rFonts w:ascii="Humnst777 BT" w:eastAsia="Humnst777 BT" w:hAnsi="Humnst777 BT" w:cs="Humnst777 BT"/>
                <w:color w:val="000000"/>
                <w:sz w:val="16"/>
                <w:vertAlign w:val="superscript"/>
                <w:lang w:val="fr-CA"/>
              </w:rPr>
              <w:t>2) 3)</w:t>
            </w: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b/>
                <w:color w:val="FF0000"/>
                <w:sz w:val="16"/>
                <w:lang w:val="fr-CA"/>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FF0000"/>
                <w:sz w:val="16"/>
                <w:lang w:val="fr-CA"/>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color w:val="FF0000"/>
                <w:sz w:val="16"/>
                <w:lang w:val="fr-CA"/>
              </w:rPr>
            </w:pP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color w:val="FF0000"/>
                <w:sz w:val="16"/>
                <w:lang w:val="fr-CA"/>
              </w:rPr>
            </w:pPr>
          </w:p>
        </w:tc>
        <w:tc>
          <w:tcPr>
            <w:tcW w:w="112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color w:val="FF0000"/>
                <w:sz w:val="16"/>
                <w:lang w:val="fr-CA"/>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pétroliers et chimiques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3 686</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3 720</w:t>
            </w:r>
          </w:p>
        </w:tc>
        <w:tc>
          <w:tcPr>
            <w:tcW w:w="90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Métaux et minéraux</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1 603</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1 556</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7 %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forestiers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4 220</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4 178</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 xml:space="preserve">5 </w:t>
            </w: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Charbon</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1 775</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1 767</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Produits céréaliers et engrais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3 717</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3 701</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Intermodal</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1 304</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1 306</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5"/>
        </w:trPr>
        <w:tc>
          <w:tcPr>
            <w:tcW w:w="3330"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Véhicules automobiles</w:t>
            </w:r>
          </w:p>
        </w:tc>
        <w:tc>
          <w:tcPr>
            <w:tcW w:w="373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3 078</w:t>
            </w:r>
          </w:p>
        </w:tc>
        <w:tc>
          <w:tcPr>
            <w:tcW w:w="81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3 060</w:t>
            </w:r>
          </w:p>
        </w:tc>
        <w:tc>
          <w:tcPr>
            <w:tcW w:w="90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w:t>
            </w:r>
          </w:p>
        </w:tc>
        <w:tc>
          <w:tcPr>
            <w:tcW w:w="9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4 %</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7065" w:type="dxa"/>
            <w:gridSpan w:val="3"/>
            <w:tcBorders>
              <w:top w:val="nil"/>
              <w:left w:val="nil"/>
              <w:bottom w:val="single" w:sz="12"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i/>
                <w:color w:val="000000"/>
                <w:sz w:val="16"/>
                <w:lang w:val="fr-CA"/>
              </w:rPr>
            </w:pPr>
            <w:r w:rsidRPr="00BC398A">
              <w:rPr>
                <w:rFonts w:ascii="Humnst777 BT" w:eastAsia="Humnst777 BT" w:hAnsi="Humnst777 BT" w:cs="Humnst777 BT"/>
                <w:i/>
                <w:color w:val="000000"/>
                <w:sz w:val="16"/>
                <w:lang w:val="fr-CA"/>
              </w:rPr>
              <w:t>Total – Produits marchandises ferroviaires/wagon complet</w:t>
            </w:r>
          </w:p>
        </w:tc>
        <w:tc>
          <w:tcPr>
            <w:tcW w:w="810" w:type="dxa"/>
            <w:tcBorders>
              <w:top w:val="nil"/>
              <w:left w:val="nil"/>
              <w:bottom w:val="single" w:sz="12"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2 178</w:t>
            </w:r>
          </w:p>
        </w:tc>
        <w:tc>
          <w:tcPr>
            <w:tcW w:w="810" w:type="dxa"/>
            <w:tcBorders>
              <w:top w:val="nil"/>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2 248</w:t>
            </w:r>
          </w:p>
        </w:tc>
        <w:tc>
          <w:tcPr>
            <w:tcW w:w="900" w:type="dxa"/>
            <w:tcBorders>
              <w:top w:val="nil"/>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w:t>
            </w:r>
          </w:p>
        </w:tc>
        <w:tc>
          <w:tcPr>
            <w:tcW w:w="90" w:type="dxa"/>
            <w:tcBorders>
              <w:top w:val="nil"/>
              <w:left w:val="nil"/>
              <w:bottom w:val="single" w:sz="12"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nil"/>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28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304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373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81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81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90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9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112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285" w:type="dxa"/>
            <w:tcBorders>
              <w:top w:val="nil"/>
              <w:left w:val="nil"/>
              <w:bottom w:val="nil"/>
              <w:right w:val="nil"/>
              <w:tl2br w:val="nil"/>
              <w:tr2bl w:val="nil"/>
            </w:tcBorders>
            <w:shd w:val="clear" w:color="auto" w:fill="auto"/>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1)</w:t>
            </w:r>
          </w:p>
        </w:tc>
        <w:tc>
          <w:tcPr>
            <w:tcW w:w="10515" w:type="dxa"/>
            <w:gridSpan w:val="7"/>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Consulter la section d’information supplémentaire intitulée Mesures de calcul non conformes aux PCGR pour une explication de cette mesure de calcul non conforme aux PCGR.</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285" w:type="dxa"/>
            <w:tcBorders>
              <w:top w:val="nil"/>
              <w:left w:val="nil"/>
              <w:bottom w:val="nil"/>
              <w:right w:val="nil"/>
              <w:tl2br w:val="nil"/>
              <w:tr2bl w:val="nil"/>
            </w:tcBorders>
            <w:shd w:val="clear" w:color="auto" w:fill="auto"/>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 xml:space="preserve">2)  </w:t>
            </w:r>
          </w:p>
        </w:tc>
        <w:tc>
          <w:tcPr>
            <w:tcW w:w="10515" w:type="dxa"/>
            <w:gridSpan w:val="7"/>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Ces montants sont exprimés en dollars CA.</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85" w:type="dxa"/>
            <w:tcBorders>
              <w:top w:val="nil"/>
              <w:left w:val="nil"/>
              <w:bottom w:val="nil"/>
              <w:right w:val="nil"/>
              <w:tl2br w:val="nil"/>
              <w:tr2bl w:val="nil"/>
            </w:tcBorders>
            <w:shd w:val="clear" w:color="auto" w:fill="auto"/>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3)</w:t>
            </w:r>
          </w:p>
        </w:tc>
        <w:tc>
          <w:tcPr>
            <w:tcW w:w="10515" w:type="dxa"/>
            <w:gridSpan w:val="7"/>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 xml:space="preserve">Les statistiques d’exploitation </w:t>
            </w:r>
            <w:r w:rsidRPr="00BC398A">
              <w:rPr>
                <w:rFonts w:ascii="Humnst777 BT" w:eastAsia="Humnst777 BT" w:hAnsi="Humnst777 BT" w:cs="Humnst777 BT"/>
                <w:i/>
                <w:color w:val="000000"/>
                <w:sz w:val="14"/>
                <w:lang w:val="fr-CA"/>
              </w:rPr>
              <w:t>et les mesures d’exploitation clés connexes sont non auditées et sont établies à partir des données estimées alors connues et elles peuvent être modifiées lorsque de l’information plus complète devient disponible.</w:t>
            </w:r>
          </w:p>
        </w:tc>
      </w:tr>
    </w:tbl>
    <w:p w:rsidR="00A40E1E" w:rsidRPr="00BC398A" w:rsidRDefault="00A40E1E">
      <w:pPr>
        <w:rPr>
          <w:lang w:val="fr-CA"/>
        </w:rPr>
        <w:sectPr w:rsidR="00A40E1E" w:rsidRPr="00BC398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720" w:bottom="720" w:left="720" w:header="432" w:footer="259" w:gutter="0"/>
          <w:pgBorders>
            <w:top w:val="nil"/>
            <w:left w:val="nil"/>
            <w:bottom w:val="nil"/>
            <w:right w:val="nil"/>
          </w:pgBorders>
          <w:cols w:space="720"/>
        </w:sectPr>
      </w:pPr>
    </w:p>
    <w:p w:rsidR="00AC53DC" w:rsidRPr="00AC53DC" w:rsidRDefault="00BC398A" w:rsidP="00AC53DC">
      <w:pPr>
        <w:pageBreakBefore/>
        <w:pBdr>
          <w:top w:val="nil"/>
          <w:left w:val="nil"/>
          <w:bottom w:val="nil"/>
          <w:right w:val="nil"/>
          <w:between w:val="nil"/>
          <w:bar w:val="nil"/>
        </w:pBdr>
        <w:tabs>
          <w:tab w:val="left" w:pos="302"/>
        </w:tabs>
        <w:spacing w:line="260" w:lineRule="exact"/>
        <w:rPr>
          <w:rFonts w:ascii="Humnst777 BT" w:eastAsia="Calibri" w:hAnsi="Humnst777 BT" w:cs="Arial"/>
          <w:sz w:val="17"/>
          <w:szCs w:val="17"/>
          <w:bdr w:val="nil"/>
          <w:lang w:val="fr-CA" w:eastAsia="fr-CA" w:bidi="fr-CA"/>
        </w:rPr>
      </w:pPr>
      <w:r w:rsidRPr="00AC53DC">
        <w:rPr>
          <w:rFonts w:ascii="Humnst777 BT" w:eastAsia="Calibri" w:hAnsi="Humnst777 BT" w:cs="Arial"/>
          <w:sz w:val="17"/>
          <w:szCs w:val="17"/>
          <w:bdr w:val="nil"/>
          <w:lang w:val="fr-CA" w:eastAsia="fr-CA" w:bidi="fr-CA"/>
        </w:rPr>
        <w:lastRenderedPageBreak/>
        <w:t>Dans la présente section</w:t>
      </w:r>
      <w:r>
        <w:rPr>
          <w:rFonts w:ascii="Humnst777 BT" w:eastAsia="Calibri" w:hAnsi="Humnst777 BT" w:cs="Arial"/>
          <w:sz w:val="17"/>
          <w:szCs w:val="17"/>
          <w:bdr w:val="nil"/>
          <w:lang w:val="fr-CA" w:eastAsia="fr-CA" w:bidi="fr-CA"/>
        </w:rPr>
        <w:t xml:space="preserve"> d’information</w:t>
      </w:r>
      <w:r w:rsidRPr="00AC53DC">
        <w:rPr>
          <w:rFonts w:ascii="Humnst777 BT" w:eastAsia="Calibri" w:hAnsi="Humnst777 BT" w:cs="Arial"/>
          <w:sz w:val="17"/>
          <w:szCs w:val="17"/>
          <w:bdr w:val="nil"/>
          <w:lang w:val="fr-CA" w:eastAsia="fr-CA" w:bidi="fr-CA"/>
        </w:rPr>
        <w:t xml:space="preserve"> supplémentaire, les termes « Compagnie » ou « CN » désignent la Compagnie des chemins de fer nationaux du Canada et</w:t>
      </w:r>
      <w:r>
        <w:rPr>
          <w:rFonts w:ascii="Humnst777 BT" w:eastAsia="Calibri" w:hAnsi="Humnst777 BT" w:cs="Arial"/>
          <w:sz w:val="17"/>
          <w:szCs w:val="17"/>
          <w:bdr w:val="nil"/>
          <w:lang w:val="fr-CA" w:eastAsia="fr-CA" w:bidi="fr-CA"/>
        </w:rPr>
        <w:t>, selon le contexte,</w:t>
      </w:r>
      <w:r w:rsidRPr="00AC53DC">
        <w:rPr>
          <w:rFonts w:ascii="Humnst777 BT" w:eastAsia="Calibri" w:hAnsi="Humnst777 BT" w:cs="Arial"/>
          <w:sz w:val="17"/>
          <w:szCs w:val="17"/>
          <w:bdr w:val="nil"/>
          <w:lang w:val="fr-CA" w:eastAsia="fr-CA" w:bidi="fr-CA"/>
        </w:rPr>
        <w:t xml:space="preserve"> ses filiales en propriété exclusive. À moins d’indication contraire, les données financières contenues dans la présente section sont exprimée</w:t>
      </w:r>
      <w:r w:rsidRPr="00AC53DC">
        <w:rPr>
          <w:rFonts w:ascii="Humnst777 BT" w:eastAsia="Calibri" w:hAnsi="Humnst777 BT" w:cs="Arial"/>
          <w:sz w:val="17"/>
          <w:szCs w:val="17"/>
          <w:bdr w:val="nil"/>
          <w:lang w:val="fr-CA" w:eastAsia="fr-CA" w:bidi="fr-CA"/>
        </w:rPr>
        <w:t xml:space="preserve">s en dollars CA. </w:t>
      </w:r>
    </w:p>
    <w:p w:rsidR="00D86095" w:rsidRPr="00AC53DC" w:rsidRDefault="00BC398A" w:rsidP="00AC53DC">
      <w:pPr>
        <w:pBdr>
          <w:top w:val="nil"/>
          <w:left w:val="nil"/>
          <w:bottom w:val="nil"/>
          <w:right w:val="nil"/>
          <w:between w:val="nil"/>
          <w:bar w:val="nil"/>
        </w:pBdr>
        <w:tabs>
          <w:tab w:val="left" w:pos="302"/>
        </w:tabs>
        <w:spacing w:line="260" w:lineRule="exact"/>
        <w:rPr>
          <w:rFonts w:ascii="Humnst777 BT" w:eastAsia="Calibri" w:hAnsi="Humnst777 BT" w:cs="Humnst777 BT"/>
          <w:sz w:val="17"/>
          <w:szCs w:val="17"/>
          <w:bdr w:val="nil"/>
          <w:lang w:val="fr-CA" w:eastAsia="en-US"/>
        </w:rPr>
      </w:pPr>
      <w:r>
        <w:rPr>
          <w:rFonts w:ascii="Humnst777 BT" w:eastAsia="Calibri" w:hAnsi="Humnst777 BT" w:cs="Arial"/>
          <w:sz w:val="17"/>
          <w:szCs w:val="17"/>
          <w:bdr w:val="nil"/>
          <w:lang w:val="fr-CA" w:eastAsia="fr-CA" w:bidi="fr-CA"/>
        </w:rPr>
        <w:tab/>
      </w:r>
      <w:r w:rsidRPr="00AC53DC">
        <w:rPr>
          <w:rFonts w:ascii="Humnst777 BT" w:eastAsia="Calibri" w:hAnsi="Humnst777 BT" w:cs="Arial"/>
          <w:sz w:val="17"/>
          <w:szCs w:val="17"/>
          <w:bdr w:val="nil"/>
          <w:lang w:val="fr-CA" w:eastAsia="fr-CA" w:bidi="fr-CA"/>
        </w:rPr>
        <w:t xml:space="preserve">Le CN </w:t>
      </w:r>
      <w:r>
        <w:rPr>
          <w:rFonts w:ascii="Humnst777 BT" w:eastAsia="Calibri" w:hAnsi="Humnst777 BT" w:cs="Arial"/>
          <w:sz w:val="17"/>
          <w:szCs w:val="17"/>
          <w:bdr w:val="nil"/>
          <w:lang w:val="fr-CA" w:eastAsia="fr-CA" w:bidi="fr-CA"/>
        </w:rPr>
        <w:t xml:space="preserve">présente </w:t>
      </w:r>
      <w:r w:rsidRPr="00AC53DC">
        <w:rPr>
          <w:rFonts w:ascii="Humnst777 BT" w:eastAsia="Calibri" w:hAnsi="Humnst777 BT" w:cs="Arial"/>
          <w:sz w:val="17"/>
          <w:szCs w:val="17"/>
          <w:bdr w:val="nil"/>
          <w:lang w:val="fr-CA" w:eastAsia="fr-CA" w:bidi="fr-CA"/>
        </w:rPr>
        <w:t>ses résultats financiers selon les principes comptables généralement reconnus (PCGR) aux États-Unis. La Compagnie utilise également des mesures</w:t>
      </w:r>
      <w:r>
        <w:rPr>
          <w:rFonts w:ascii="Humnst777 BT" w:eastAsia="Calibri" w:hAnsi="Humnst777 BT" w:cs="Arial"/>
          <w:sz w:val="17"/>
          <w:szCs w:val="17"/>
          <w:bdr w:val="nil"/>
          <w:lang w:val="fr-CA" w:eastAsia="fr-CA" w:bidi="fr-CA"/>
        </w:rPr>
        <w:t xml:space="preserve"> de calcul</w:t>
      </w:r>
      <w:r w:rsidRPr="00AC53DC">
        <w:rPr>
          <w:rFonts w:ascii="Humnst777 BT" w:eastAsia="Calibri" w:hAnsi="Humnst777 BT" w:cs="Arial"/>
          <w:sz w:val="17"/>
          <w:szCs w:val="17"/>
          <w:bdr w:val="nil"/>
          <w:lang w:val="fr-CA" w:eastAsia="fr-CA" w:bidi="fr-CA"/>
        </w:rPr>
        <w:t xml:space="preserve"> non conformes aux PCGR, qui ne sont pas définies de façon normalisée en vertu des PCGR, </w:t>
      </w:r>
      <w:r>
        <w:rPr>
          <w:rFonts w:ascii="Humnst777 BT" w:eastAsia="Calibri" w:hAnsi="Humnst777 BT" w:cs="Arial"/>
          <w:sz w:val="17"/>
          <w:szCs w:val="17"/>
          <w:bdr w:val="nil"/>
          <w:lang w:val="fr-CA" w:eastAsia="fr-CA" w:bidi="fr-CA"/>
        </w:rPr>
        <w:t xml:space="preserve">telles que </w:t>
      </w:r>
      <w:r w:rsidRPr="00AC53DC">
        <w:rPr>
          <w:rFonts w:ascii="Humnst777 BT" w:eastAsia="Calibri" w:hAnsi="Humnst777 BT" w:cs="Arial"/>
          <w:sz w:val="17"/>
          <w:szCs w:val="17"/>
          <w:bdr w:val="nil"/>
          <w:lang w:val="fr-CA" w:eastAsia="fr-CA" w:bidi="fr-CA"/>
        </w:rPr>
        <w:t xml:space="preserve">les mesures de la performance rajustées, la devise constante, les flux de trésorerie disponibles et le ratio </w:t>
      </w:r>
      <w:r w:rsidRPr="00AC53DC">
        <w:rPr>
          <w:rFonts w:ascii="Humnst777 BT" w:eastAsia="Calibri" w:hAnsi="Humnst777 BT" w:cs="Arial"/>
          <w:sz w:val="17"/>
          <w:szCs w:val="17"/>
          <w:bdr w:val="nil"/>
          <w:lang w:val="fr-CA" w:eastAsia="fr-CA" w:bidi="fr-CA"/>
        </w:rPr>
        <w:t xml:space="preserve">capitaux empruntés rajustés/BAIIA rajusté sous forme de multiple. Ces mesures </w:t>
      </w:r>
      <w:r>
        <w:rPr>
          <w:rFonts w:ascii="Humnst777 BT" w:eastAsia="Calibri" w:hAnsi="Humnst777 BT" w:cs="Arial"/>
          <w:sz w:val="17"/>
          <w:szCs w:val="17"/>
          <w:bdr w:val="nil"/>
          <w:lang w:val="fr-CA" w:eastAsia="fr-CA" w:bidi="fr-CA"/>
        </w:rPr>
        <w:t xml:space="preserve">de calcul </w:t>
      </w:r>
      <w:r w:rsidRPr="00AC53DC">
        <w:rPr>
          <w:rFonts w:ascii="Humnst777 BT" w:eastAsia="Calibri" w:hAnsi="Humnst777 BT" w:cs="Arial"/>
          <w:sz w:val="17"/>
          <w:szCs w:val="17"/>
          <w:bdr w:val="nil"/>
          <w:lang w:val="fr-CA" w:eastAsia="fr-CA" w:bidi="fr-CA"/>
        </w:rPr>
        <w:t>non conform</w:t>
      </w:r>
      <w:r w:rsidRPr="00AC53DC">
        <w:rPr>
          <w:rFonts w:ascii="Humnst777 BT" w:eastAsia="Calibri" w:hAnsi="Humnst777 BT" w:cs="Arial"/>
          <w:sz w:val="17"/>
          <w:szCs w:val="17"/>
          <w:bdr w:val="nil"/>
          <w:lang w:val="fr-CA" w:eastAsia="fr-CA" w:bidi="fr-CA"/>
        </w:rPr>
        <w:t>es aux PCGR peuvent ne pas être comparables aux mesures semblables présentées par d’autres sociétés. Selon l’avis de la direction, ces mesures de calcul non conformes aux PCGR sont des mesures utiles de la performance et fournissent aux investisseurs de l’</w:t>
      </w:r>
      <w:r w:rsidRPr="00AC53DC">
        <w:rPr>
          <w:rFonts w:ascii="Humnst777 BT" w:eastAsia="Calibri" w:hAnsi="Humnst777 BT" w:cs="Arial"/>
          <w:sz w:val="17"/>
          <w:szCs w:val="17"/>
          <w:bdr w:val="nil"/>
          <w:lang w:val="fr-CA" w:eastAsia="fr-CA" w:bidi="fr-CA"/>
        </w:rPr>
        <w:t xml:space="preserve">information supplémentaire leur permettant d’évaluer les résultats d’exploitation et les liquidités de la Compagnie. Ces mesures de calcul non conformes aux PCGR ne doivent pas être considérées isolément et ne remplacent aucunement les mesures financières </w:t>
      </w:r>
      <w:r w:rsidRPr="00AC53DC">
        <w:rPr>
          <w:rFonts w:ascii="Humnst777 BT" w:eastAsia="Calibri" w:hAnsi="Humnst777 BT" w:cs="Arial"/>
          <w:sz w:val="17"/>
          <w:szCs w:val="17"/>
          <w:bdr w:val="nil"/>
          <w:lang w:val="fr-CA" w:eastAsia="fr-CA" w:bidi="fr-CA"/>
        </w:rPr>
        <w:t>préparées conformément aux PCGR</w:t>
      </w:r>
      <w:r w:rsidRPr="00AC53DC">
        <w:rPr>
          <w:rFonts w:ascii="Humnst777 BT" w:eastAsia="Humnst777 BT" w:hAnsi="Humnst777 BT" w:cs="Humnst777 BT"/>
          <w:sz w:val="17"/>
          <w:szCs w:val="17"/>
          <w:bdr w:val="nil"/>
          <w:lang w:val="fr-CA" w:eastAsia="en-US"/>
        </w:rPr>
        <w:t>.</w:t>
      </w:r>
    </w:p>
    <w:p w:rsidR="00A40E1E" w:rsidRPr="00BC398A" w:rsidRDefault="00BC398A">
      <w:pPr>
        <w:pBdr>
          <w:top w:val="nil"/>
          <w:left w:val="nil"/>
          <w:bottom w:val="nil"/>
          <w:right w:val="nil"/>
          <w:between w:val="nil"/>
          <w:bar w:val="nil"/>
        </w:pBdr>
        <w:spacing w:line="260" w:lineRule="exact"/>
        <w:rPr>
          <w:rFonts w:ascii="Humnst777 BT" w:eastAsia="Humnst777 BT" w:hAnsi="Humnst777 BT" w:cs="Humnst777 BT"/>
          <w:sz w:val="17"/>
          <w:szCs w:val="22"/>
          <w:bdr w:val="nil"/>
          <w:lang w:val="fr-CA" w:eastAsia="en-US"/>
        </w:rPr>
      </w:pPr>
      <w:r w:rsidRPr="00BC398A">
        <w:rPr>
          <w:rFonts w:ascii="Humnst777 BT" w:eastAsia="Humnst777 BT" w:hAnsi="Humnst777 BT" w:cs="Humnst777 BT"/>
          <w:sz w:val="17"/>
          <w:szCs w:val="22"/>
          <w:bdr w:val="nil"/>
          <w:lang w:val="fr-CA" w:eastAsia="en-US"/>
        </w:rPr>
        <w:br/>
      </w:r>
    </w:p>
    <w:p w:rsidR="005964D5" w:rsidRDefault="00BC398A" w:rsidP="00A87A01">
      <w:pPr>
        <w:pBdr>
          <w:top w:val="nil"/>
          <w:left w:val="nil"/>
          <w:bottom w:val="nil"/>
          <w:right w:val="nil"/>
          <w:between w:val="nil"/>
          <w:bar w:val="nil"/>
        </w:pBdr>
        <w:spacing w:line="260" w:lineRule="exact"/>
        <w:rPr>
          <w:rFonts w:ascii="Humnst777 BT" w:eastAsia="Calibri" w:hAnsi="Humnst777 BT" w:cs="Arial"/>
          <w:b/>
          <w:color w:val="0070C0"/>
          <w:sz w:val="22"/>
          <w:szCs w:val="22"/>
          <w:bdr w:val="nil"/>
          <w:lang w:val="fr-CA" w:eastAsia="en-US"/>
        </w:rPr>
      </w:pPr>
      <w:r w:rsidRPr="00FB50CE">
        <w:rPr>
          <w:rFonts w:ascii="Humnst777 BT" w:eastAsia="Calibri" w:hAnsi="Humnst777 BT" w:cs="Arial"/>
          <w:b/>
          <w:color w:val="0070C0"/>
          <w:sz w:val="22"/>
          <w:szCs w:val="22"/>
          <w:bdr w:val="nil"/>
          <w:lang w:val="fr-CA" w:eastAsia="en-US"/>
        </w:rPr>
        <w:t>Mesures de la performance rajustées</w:t>
      </w:r>
    </w:p>
    <w:p w:rsidR="003B4973" w:rsidRPr="00FB50CE" w:rsidRDefault="00BC398A" w:rsidP="00A87A01">
      <w:pPr>
        <w:pBdr>
          <w:top w:val="nil"/>
          <w:left w:val="nil"/>
          <w:bottom w:val="nil"/>
          <w:right w:val="nil"/>
          <w:between w:val="nil"/>
          <w:bar w:val="nil"/>
        </w:pBdr>
        <w:spacing w:line="260" w:lineRule="exact"/>
        <w:rPr>
          <w:rFonts w:ascii="Humnst777 BT" w:eastAsia="Calibri" w:hAnsi="Humnst777 BT" w:cs="Humnst777BT,Bold"/>
          <w:b/>
          <w:bCs/>
          <w:color w:val="0070C0"/>
          <w:sz w:val="22"/>
          <w:szCs w:val="22"/>
          <w:bdr w:val="nil"/>
          <w:lang w:val="fr-CA" w:eastAsia="en-US"/>
        </w:rPr>
      </w:pPr>
    </w:p>
    <w:p w:rsidR="00D86095" w:rsidRPr="005964D5" w:rsidRDefault="00BC398A" w:rsidP="00A87A01">
      <w:pPr>
        <w:pStyle w:val="BodyText2"/>
        <w:pBdr>
          <w:top w:val="nil"/>
          <w:left w:val="nil"/>
          <w:bottom w:val="nil"/>
          <w:right w:val="nil"/>
          <w:between w:val="nil"/>
          <w:bar w:val="nil"/>
        </w:pBdr>
        <w:tabs>
          <w:tab w:val="clear" w:pos="149"/>
          <w:tab w:val="left" w:pos="302"/>
        </w:tabs>
        <w:spacing w:line="260" w:lineRule="exact"/>
        <w:jc w:val="left"/>
        <w:rPr>
          <w:rFonts w:cs="Humnst777BT"/>
          <w:sz w:val="17"/>
          <w:szCs w:val="17"/>
          <w:bdr w:val="nil"/>
        </w:rPr>
      </w:pPr>
      <w:r w:rsidRPr="005964D5">
        <w:rPr>
          <w:sz w:val="17"/>
          <w:bdr w:val="nil"/>
        </w:rPr>
        <w:t xml:space="preserve">La direction est d’avis que le bénéfice net rajusté et le </w:t>
      </w:r>
      <w:r w:rsidRPr="005964D5">
        <w:rPr>
          <w:sz w:val="17"/>
          <w:bdr w:val="nil"/>
        </w:rPr>
        <w:t>bénéfice par action rajusté sont des mesures utiles de calcul de la performance qui peuvent faciliter les comparaisons entre les périodes, puisqu’elles excluent des éléments qui ne résultent pas nécessairement des activités quotidiennes d</w:t>
      </w:r>
      <w:r>
        <w:rPr>
          <w:sz w:val="17"/>
          <w:bdr w:val="nil"/>
        </w:rPr>
        <w:t>u CN</w:t>
      </w:r>
      <w:r w:rsidRPr="005964D5">
        <w:rPr>
          <w:sz w:val="17"/>
          <w:bdr w:val="nil"/>
        </w:rPr>
        <w:t xml:space="preserve"> et qui pourraient fausser l’analyse des tendances au chapitre de la performance économique. </w:t>
      </w:r>
      <w:r>
        <w:rPr>
          <w:sz w:val="17"/>
          <w:bdr w:val="nil"/>
        </w:rPr>
        <w:t>La direction utilise ces mesures, qui excluent certains éléments des produits et des charges de ses résultats dont la direction estime qu’ils ne sont pas représentatifs des activités d’exploitatio</w:t>
      </w:r>
      <w:r>
        <w:rPr>
          <w:sz w:val="17"/>
          <w:bdr w:val="nil"/>
        </w:rPr>
        <w:t>n sous-jacentes du CN, afin d’établir des o</w:t>
      </w:r>
      <w:r w:rsidRPr="006606D9">
        <w:rPr>
          <w:sz w:val="17"/>
          <w:bdr w:val="nil"/>
        </w:rPr>
        <w:t>bjectifs de performance</w:t>
      </w:r>
      <w:r>
        <w:rPr>
          <w:sz w:val="17"/>
          <w:bdr w:val="nil"/>
        </w:rPr>
        <w:t xml:space="preserve"> et comme outil pour mesurer la p</w:t>
      </w:r>
      <w:r>
        <w:rPr>
          <w:sz w:val="17"/>
          <w:bdr w:val="nil"/>
        </w:rPr>
        <w:t>erformance du CN. Toutefois, l’exclusion d’</w:t>
      </w:r>
      <w:r w:rsidRPr="005964D5">
        <w:rPr>
          <w:sz w:val="17"/>
          <w:bdr w:val="nil"/>
        </w:rPr>
        <w:t>éléments dans le bénéfice net rajusté et le bénéfice par action rajusté ne signifie pas qu</w:t>
      </w:r>
      <w:r>
        <w:rPr>
          <w:sz w:val="17"/>
          <w:bdr w:val="nil"/>
        </w:rPr>
        <w:t>e ces éléments</w:t>
      </w:r>
      <w:r w:rsidRPr="005964D5">
        <w:rPr>
          <w:sz w:val="17"/>
          <w:bdr w:val="nil"/>
        </w:rPr>
        <w:t xml:space="preserve"> sont nécessairement non récurrents. Ces mesures ne sont pas définies de façon normalisée en vertu des PCGR et peuvent, par conséqu</w:t>
      </w:r>
      <w:r w:rsidRPr="005964D5">
        <w:rPr>
          <w:sz w:val="17"/>
          <w:bdr w:val="nil"/>
        </w:rPr>
        <w:t>ent, ne pas être comparables aux mesures semblables présentées par d’autres sociétés.</w:t>
      </w:r>
    </w:p>
    <w:p w:rsidR="00ED577F" w:rsidRDefault="00BC398A" w:rsidP="00ED577F">
      <w:pPr>
        <w:pStyle w:val="BodyText20"/>
        <w:pBdr>
          <w:top w:val="nil"/>
          <w:left w:val="nil"/>
          <w:bottom w:val="nil"/>
          <w:right w:val="nil"/>
          <w:between w:val="nil"/>
          <w:bar w:val="nil"/>
        </w:pBdr>
        <w:tabs>
          <w:tab w:val="clear" w:pos="149"/>
          <w:tab w:val="left" w:pos="302"/>
        </w:tabs>
        <w:spacing w:line="260" w:lineRule="exact"/>
        <w:jc w:val="left"/>
        <w:rPr>
          <w:rFonts w:eastAsia="Humnst777 BT" w:cs="Humnst777 BT"/>
          <w:sz w:val="17"/>
          <w:szCs w:val="17"/>
          <w:bdr w:val="nil"/>
          <w:lang w:val="fr-CA"/>
        </w:rPr>
      </w:pPr>
      <w:r>
        <w:rPr>
          <w:rFonts w:eastAsia="Humnst777 BT" w:cs="Humnst777 BT"/>
          <w:sz w:val="17"/>
          <w:szCs w:val="17"/>
          <w:bdr w:val="nil"/>
          <w:lang w:val="fr-CA"/>
        </w:rPr>
        <w:tab/>
        <w:t xml:space="preserve">Pour les trois mois </w:t>
      </w:r>
      <w:r>
        <w:rPr>
          <w:rFonts w:eastAsia="Humnst777 BT" w:cs="Humnst777 BT"/>
          <w:sz w:val="17"/>
          <w:szCs w:val="17"/>
          <w:bdr w:val="nil"/>
          <w:lang w:val="fr-CA"/>
        </w:rPr>
        <w:t>terminés le</w:t>
      </w:r>
      <w:r>
        <w:rPr>
          <w:rFonts w:eastAsia="Humnst777 BT" w:cs="Humnst777 BT"/>
          <w:sz w:val="17"/>
          <w:szCs w:val="17"/>
          <w:bdr w:val="nil"/>
          <w:lang w:val="fr-CA"/>
        </w:rPr>
        <w:t xml:space="preserve"> </w:t>
      </w:r>
      <w:r>
        <w:rPr>
          <w:rFonts w:eastAsia="Humnst777 BT" w:cs="Humnst777 BT"/>
          <w:sz w:val="17"/>
          <w:szCs w:val="17"/>
          <w:bdr w:val="nil"/>
          <w:lang w:val="fr-CA"/>
        </w:rPr>
        <w:t>31 mars </w:t>
      </w:r>
      <w:r>
        <w:rPr>
          <w:rFonts w:eastAsia="Humnst777 BT" w:cs="Humnst777 BT"/>
          <w:sz w:val="17"/>
          <w:szCs w:val="17"/>
          <w:bdr w:val="nil"/>
          <w:lang w:val="fr-CA"/>
        </w:rPr>
        <w:t>201</w:t>
      </w:r>
      <w:r>
        <w:rPr>
          <w:rFonts w:eastAsia="Humnst777 BT" w:cs="Humnst777 BT"/>
          <w:sz w:val="17"/>
          <w:szCs w:val="17"/>
          <w:bdr w:val="nil"/>
          <w:lang w:val="fr-CA"/>
        </w:rPr>
        <w:t>8</w:t>
      </w:r>
      <w:r>
        <w:rPr>
          <w:rFonts w:eastAsia="Humnst777 BT" w:cs="Humnst777 BT"/>
          <w:sz w:val="17"/>
          <w:szCs w:val="17"/>
          <w:bdr w:val="nil"/>
          <w:lang w:val="fr-CA"/>
        </w:rPr>
        <w:t xml:space="preserve">, </w:t>
      </w:r>
      <w:r w:rsidRPr="00212CA6">
        <w:rPr>
          <w:rFonts w:eastAsia="Humnst777 BT" w:cs="Humnst777 BT"/>
          <w:sz w:val="17"/>
          <w:szCs w:val="17"/>
          <w:bdr w:val="nil"/>
          <w:lang w:val="fr-CA"/>
        </w:rPr>
        <w:t xml:space="preserve">le bénéfice net tel que déclaré et le bénéfice net rajusté de la Compagnie étaient de </w:t>
      </w:r>
      <w:r>
        <w:rPr>
          <w:rFonts w:eastAsia="Humnst777 BT" w:cs="Humnst777 BT"/>
          <w:sz w:val="17"/>
          <w:szCs w:val="17"/>
          <w:bdr w:val="nil"/>
          <w:lang w:val="fr-CA"/>
        </w:rPr>
        <w:t>741 M$, ou 1,00 $ par action</w:t>
      </w:r>
      <w:r>
        <w:rPr>
          <w:rFonts w:eastAsia="Humnst777 BT" w:cs="Humnst777 BT"/>
          <w:sz w:val="17"/>
          <w:szCs w:val="17"/>
          <w:bdr w:val="nil"/>
          <w:lang w:val="fr-CA"/>
        </w:rPr>
        <w:t xml:space="preserve"> après dilution.</w:t>
      </w:r>
    </w:p>
    <w:p w:rsidR="00787316" w:rsidRDefault="00BC398A" w:rsidP="00ED577F">
      <w:pPr>
        <w:pStyle w:val="BodyText20"/>
        <w:pBdr>
          <w:top w:val="nil"/>
          <w:left w:val="nil"/>
          <w:bottom w:val="nil"/>
          <w:right w:val="nil"/>
          <w:between w:val="nil"/>
          <w:bar w:val="nil"/>
        </w:pBdr>
        <w:tabs>
          <w:tab w:val="clear" w:pos="149"/>
          <w:tab w:val="left" w:pos="302"/>
        </w:tabs>
        <w:spacing w:line="260" w:lineRule="exact"/>
        <w:jc w:val="left"/>
        <w:rPr>
          <w:rFonts w:eastAsia="Humnst777 BT" w:cs="Humnst777 BT"/>
          <w:sz w:val="17"/>
          <w:bdr w:val="nil"/>
          <w:lang w:val="fr-CA"/>
        </w:rPr>
      </w:pPr>
      <w:r>
        <w:rPr>
          <w:rFonts w:eastAsia="Humnst777 BT" w:cs="Humnst777 BT"/>
          <w:sz w:val="17"/>
          <w:bdr w:val="nil"/>
          <w:lang w:val="fr-CA"/>
        </w:rPr>
        <w:tab/>
      </w:r>
      <w:r w:rsidRPr="00212CA6">
        <w:rPr>
          <w:rFonts w:eastAsia="Humnst777 BT" w:cs="Humnst777 BT"/>
          <w:sz w:val="17"/>
          <w:szCs w:val="17"/>
          <w:bdr w:val="nil"/>
          <w:lang w:val="fr-CA"/>
        </w:rPr>
        <w:t>Pour les trois mois terminés le 31 mars 2017, le bénéfice net rajusté de la Compagni</w:t>
      </w:r>
      <w:r w:rsidRPr="00212CA6">
        <w:rPr>
          <w:rFonts w:eastAsia="Humnst777 BT" w:cs="Humnst777 BT"/>
          <w:sz w:val="17"/>
          <w:szCs w:val="17"/>
          <w:bdr w:val="nil"/>
          <w:lang w:val="fr-CA"/>
        </w:rPr>
        <w:t>e s’est établi à 879 M$, ou 1,15 $ par action après dilution, qui exclut un recouvrement d’impôts reportés de 5 M$ (0,01 $ par action après dilution) découlant de la réduction d’un taux d’impôt provincial sur les sociétés</w:t>
      </w:r>
      <w:r>
        <w:rPr>
          <w:rFonts w:eastAsia="Humnst777 BT" w:cs="Humnst777 BT"/>
          <w:sz w:val="17"/>
          <w:bdr w:val="nil"/>
          <w:lang w:val="fr-CA"/>
        </w:rPr>
        <w:t>.</w:t>
      </w:r>
    </w:p>
    <w:p w:rsidR="002C749F" w:rsidRPr="00ED577F" w:rsidRDefault="00BC398A" w:rsidP="00ED577F">
      <w:pPr>
        <w:pStyle w:val="BodyText20"/>
        <w:pBdr>
          <w:top w:val="nil"/>
          <w:left w:val="nil"/>
          <w:bottom w:val="nil"/>
          <w:right w:val="nil"/>
          <w:between w:val="nil"/>
          <w:bar w:val="nil"/>
        </w:pBdr>
        <w:tabs>
          <w:tab w:val="clear" w:pos="149"/>
          <w:tab w:val="left" w:pos="302"/>
        </w:tabs>
        <w:spacing w:line="260" w:lineRule="exact"/>
        <w:jc w:val="left"/>
        <w:rPr>
          <w:rFonts w:eastAsia="Humnst777 BT" w:cs="Humnst777 BT"/>
          <w:sz w:val="17"/>
          <w:bdr w:val="nil"/>
          <w:lang w:val="fr-CA"/>
        </w:rPr>
      </w:pPr>
      <w:r>
        <w:rPr>
          <w:rFonts w:eastAsia="Humnst777 BT" w:cs="Humnst777 BT"/>
          <w:sz w:val="17"/>
          <w:bdr w:val="nil"/>
          <w:lang w:val="fr-CA"/>
        </w:rPr>
        <w:tab/>
      </w:r>
      <w:r w:rsidRPr="002C749F">
        <w:rPr>
          <w:rFonts w:eastAsia="Humnst777 BT" w:cs="Humnst777 BT"/>
          <w:sz w:val="17"/>
          <w:bdr w:val="nil"/>
          <w:lang w:val="fr-CA"/>
        </w:rPr>
        <w:t xml:space="preserve">Le tableau ci-après fait le rapprochement du bénéfice </w:t>
      </w:r>
      <w:r w:rsidRPr="002C749F">
        <w:rPr>
          <w:rFonts w:eastAsia="Humnst777 BT" w:cs="Humnst777 BT"/>
          <w:sz w:val="17"/>
          <w:bdr w:val="nil"/>
          <w:lang w:val="fr-CA"/>
        </w:rPr>
        <w:t>net et du bénéfice par action, t</w:t>
      </w:r>
      <w:r>
        <w:rPr>
          <w:rFonts w:eastAsia="Humnst777 BT" w:cs="Humnst777 BT"/>
          <w:sz w:val="17"/>
          <w:bdr w:val="nil"/>
          <w:lang w:val="fr-CA"/>
        </w:rPr>
        <w:t>els que déclarés pour les trois </w:t>
      </w:r>
      <w:r w:rsidRPr="002C749F">
        <w:rPr>
          <w:rFonts w:eastAsia="Humnst777 BT" w:cs="Humnst777 BT"/>
          <w:sz w:val="17"/>
          <w:bdr w:val="nil"/>
          <w:lang w:val="fr-CA"/>
        </w:rPr>
        <w:t>mois terminés les 3</w:t>
      </w:r>
      <w:r>
        <w:rPr>
          <w:rFonts w:eastAsia="Humnst777 BT" w:cs="Humnst777 BT"/>
          <w:sz w:val="17"/>
          <w:bdr w:val="nil"/>
          <w:lang w:val="fr-CA"/>
        </w:rPr>
        <w:t>1 mars </w:t>
      </w:r>
      <w:r w:rsidRPr="002C749F">
        <w:rPr>
          <w:rFonts w:eastAsia="Humnst777 BT" w:cs="Humnst777 BT"/>
          <w:sz w:val="17"/>
          <w:bdr w:val="nil"/>
          <w:lang w:val="fr-CA"/>
        </w:rPr>
        <w:t>201</w:t>
      </w:r>
      <w:r>
        <w:rPr>
          <w:rFonts w:eastAsia="Humnst777 BT" w:cs="Humnst777 BT"/>
          <w:sz w:val="17"/>
          <w:bdr w:val="nil"/>
          <w:lang w:val="fr-CA"/>
        </w:rPr>
        <w:t>8</w:t>
      </w:r>
      <w:r w:rsidRPr="002C749F">
        <w:rPr>
          <w:rFonts w:eastAsia="Humnst777 BT" w:cs="Humnst777 BT"/>
          <w:sz w:val="17"/>
          <w:bdr w:val="nil"/>
          <w:lang w:val="fr-CA"/>
        </w:rPr>
        <w:t xml:space="preserve"> et 201</w:t>
      </w:r>
      <w:r>
        <w:rPr>
          <w:rFonts w:eastAsia="Humnst777 BT" w:cs="Humnst777 BT"/>
          <w:sz w:val="17"/>
          <w:bdr w:val="nil"/>
          <w:lang w:val="fr-CA"/>
        </w:rPr>
        <w:t>7</w:t>
      </w:r>
      <w:r w:rsidRPr="002C749F">
        <w:rPr>
          <w:rFonts w:eastAsia="Humnst777 BT" w:cs="Humnst777 BT"/>
          <w:sz w:val="17"/>
          <w:bdr w:val="nil"/>
          <w:lang w:val="fr-CA"/>
        </w:rPr>
        <w:t>, et des mesures de la performance ra</w:t>
      </w:r>
      <w:r>
        <w:rPr>
          <w:rFonts w:eastAsia="Humnst777 BT" w:cs="Humnst777 BT"/>
          <w:sz w:val="17"/>
          <w:bdr w:val="nil"/>
          <w:lang w:val="fr-CA"/>
        </w:rPr>
        <w:t>justées indiquées aux présentes </w:t>
      </w:r>
      <w:r w:rsidRPr="002C749F">
        <w:rPr>
          <w:rFonts w:eastAsia="Humnst777 BT" w:cs="Humnst777 BT"/>
          <w:sz w:val="17"/>
          <w:bdr w:val="nil"/>
          <w:lang w:val="fr-CA"/>
        </w:rPr>
        <w:t>:</w:t>
      </w:r>
    </w:p>
    <w:p w:rsidR="00A40E1E" w:rsidRPr="00BC398A" w:rsidRDefault="00A40E1E">
      <w:pPr>
        <w:spacing w:line="260" w:lineRule="exact"/>
        <w:rPr>
          <w:rFonts w:ascii="Humnst777 BT" w:eastAsia="Humnst777 BT" w:hAnsi="Humnst777 BT" w:cs="Humnst777 BT"/>
          <w:sz w:val="17"/>
          <w:lang w:val="fr-CA"/>
        </w:rPr>
      </w:pPr>
    </w:p>
    <w:tbl>
      <w:tblPr>
        <w:tblStyle w:val="CDMRange1"/>
        <w:tblW w:w="10800" w:type="dxa"/>
        <w:tblLook w:val="0600" w:firstRow="0" w:lastRow="0" w:firstColumn="0" w:lastColumn="0" w:noHBand="1" w:noVBand="1"/>
      </w:tblPr>
      <w:tblGrid>
        <w:gridCol w:w="271"/>
        <w:gridCol w:w="4561"/>
        <w:gridCol w:w="3196"/>
        <w:gridCol w:w="1125"/>
        <w:gridCol w:w="301"/>
        <w:gridCol w:w="1125"/>
        <w:gridCol w:w="301"/>
      </w:tblGrid>
      <w:tr w:rsidR="00A40E1E">
        <w:trPr>
          <w:cantSplit/>
          <w:trHeight w:val="240"/>
        </w:trPr>
        <w:tc>
          <w:tcPr>
            <w:tcW w:w="25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454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3180"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2820" w:type="dxa"/>
            <w:gridSpan w:val="4"/>
            <w:tcBorders>
              <w:top w:val="nil"/>
              <w:left w:val="nil"/>
              <w:bottom w:val="nil"/>
              <w:right w:val="nil"/>
              <w:tl2br w:val="nil"/>
              <w:tr2bl w:val="nil"/>
            </w:tcBorders>
            <w:shd w:val="clear" w:color="auto" w:fill="auto"/>
            <w:tcMar>
              <w:left w:w="29" w:type="dxa"/>
              <w:right w:w="29" w:type="dxa"/>
            </w:tcMar>
            <w:vAlign w:val="bottom"/>
          </w:tcPr>
          <w:p w:rsidR="00A40E1E" w:rsidRDefault="00BC398A">
            <w:pPr>
              <w:keepNext/>
              <w:jc w:val="center"/>
              <w:rPr>
                <w:rFonts w:ascii="Humnst777 BT" w:eastAsia="Humnst777 BT" w:hAnsi="Humnst777 BT" w:cs="Humnst777 BT"/>
                <w:b/>
                <w:color w:val="000000"/>
                <w:sz w:val="16"/>
              </w:rPr>
            </w:pPr>
            <w:r>
              <w:rPr>
                <w:rFonts w:ascii="Humnst777 BT" w:eastAsia="Humnst777 BT" w:hAnsi="Humnst777 BT" w:cs="Humnst777 BT"/>
                <w:b/>
                <w:color w:val="000000"/>
                <w:sz w:val="16"/>
              </w:rPr>
              <w:t>Pour les trois mois</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5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454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318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22"/>
              </w:rPr>
            </w:pPr>
          </w:p>
        </w:tc>
        <w:tc>
          <w:tcPr>
            <w:tcW w:w="2820" w:type="dxa"/>
            <w:gridSpan w:val="4"/>
            <w:tcBorders>
              <w:top w:val="nil"/>
              <w:left w:val="nil"/>
              <w:bottom w:val="single" w:sz="4" w:space="0" w:color="000000"/>
              <w:right w:val="nil"/>
              <w:tl2br w:val="nil"/>
              <w:tr2bl w:val="nil"/>
            </w:tcBorders>
            <w:shd w:val="clear" w:color="auto" w:fill="auto"/>
            <w:tcMar>
              <w:left w:w="29" w:type="dxa"/>
              <w:right w:w="29" w:type="dxa"/>
            </w:tcMar>
            <w:vAlign w:val="bottom"/>
          </w:tcPr>
          <w:p w:rsidR="00A40E1E" w:rsidRDefault="00BC398A">
            <w:pPr>
              <w:keepNext/>
              <w:jc w:val="center"/>
              <w:rPr>
                <w:rFonts w:ascii="Humnst777 BT" w:eastAsia="Humnst777 BT" w:hAnsi="Humnst777 BT" w:cs="Humnst777 BT"/>
                <w:b/>
                <w:color w:val="000000"/>
                <w:sz w:val="16"/>
              </w:rPr>
            </w:pPr>
            <w:r>
              <w:rPr>
                <w:rFonts w:ascii="Humnst777 BT" w:eastAsia="Humnst777 BT" w:hAnsi="Humnst777 BT" w:cs="Humnst777 BT"/>
                <w:b/>
                <w:color w:val="000000"/>
                <w:sz w:val="16"/>
              </w:rPr>
              <w:t>terminés le 31 mars</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0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En millions, sauf les données relatives aux actions</w:t>
            </w:r>
          </w:p>
        </w:tc>
        <w:tc>
          <w:tcPr>
            <w:tcW w:w="31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Pr="00BC398A" w:rsidRDefault="00A40E1E">
            <w:pPr>
              <w:keepNext/>
              <w:jc w:val="right"/>
              <w:rPr>
                <w:rFonts w:ascii="Humnst777 BT" w:eastAsia="Humnst777 BT" w:hAnsi="Humnst777 BT" w:cs="Humnst777 BT"/>
                <w:b/>
                <w:color w:val="000000"/>
                <w:sz w:val="16"/>
                <w:lang w:val="fr-CA"/>
              </w:rPr>
            </w:pPr>
          </w:p>
        </w:tc>
        <w:tc>
          <w:tcPr>
            <w:tcW w:w="1125"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2018</w:t>
            </w:r>
          </w:p>
        </w:tc>
        <w:tc>
          <w:tcPr>
            <w:tcW w:w="28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b/>
                <w:color w:val="000000"/>
                <w:sz w:val="16"/>
              </w:rPr>
            </w:pPr>
          </w:p>
        </w:tc>
        <w:tc>
          <w:tcPr>
            <w:tcW w:w="1125"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2017</w:t>
            </w:r>
          </w:p>
        </w:tc>
        <w:tc>
          <w:tcPr>
            <w:tcW w:w="28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00"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Bénéfice net tel que déclaré</w:t>
            </w:r>
          </w:p>
        </w:tc>
        <w:tc>
          <w:tcPr>
            <w:tcW w:w="318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1125" w:type="dxa"/>
            <w:tcBorders>
              <w:top w:val="single" w:sz="4" w:space="0" w:color="000000"/>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741</w:t>
            </w:r>
          </w:p>
        </w:tc>
        <w:tc>
          <w:tcPr>
            <w:tcW w:w="285" w:type="dxa"/>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125" w:type="dxa"/>
            <w:tcBorders>
              <w:top w:val="single" w:sz="4" w:space="0" w:color="000000"/>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884</w:t>
            </w:r>
          </w:p>
        </w:tc>
        <w:tc>
          <w:tcPr>
            <w:tcW w:w="285" w:type="dxa"/>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80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 xml:space="preserve">Rajustement : </w:t>
            </w:r>
            <w:r>
              <w:rPr>
                <w:rFonts w:ascii="Humnst777 BT" w:eastAsia="Humnst777 BT" w:hAnsi="Humnst777 BT" w:cs="Humnst777 BT"/>
                <w:color w:val="000000"/>
                <w:sz w:val="16"/>
              </w:rPr>
              <w:t>Recouvrement d’impôts</w:t>
            </w:r>
          </w:p>
        </w:tc>
        <w:tc>
          <w:tcPr>
            <w:tcW w:w="31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22"/>
              </w:rPr>
            </w:pPr>
          </w:p>
        </w:tc>
        <w:tc>
          <w:tcPr>
            <w:tcW w:w="1125"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125" w:type="dxa"/>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00" w:type="dxa"/>
            <w:gridSpan w:val="2"/>
            <w:vMerge w:val="restart"/>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Bénéfice net rajusté</w:t>
            </w:r>
          </w:p>
        </w:tc>
        <w:tc>
          <w:tcPr>
            <w:tcW w:w="3180" w:type="dxa"/>
            <w:tcBorders>
              <w:top w:val="single" w:sz="4" w:space="0" w:color="000000"/>
              <w:left w:val="nil"/>
              <w:bottom w:val="single" w:sz="12"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22"/>
              </w:rPr>
            </w:pPr>
          </w:p>
        </w:tc>
        <w:tc>
          <w:tcPr>
            <w:tcW w:w="1125" w:type="dxa"/>
            <w:tcBorders>
              <w:top w:val="single" w:sz="4" w:space="0" w:color="000000"/>
              <w:left w:val="nil"/>
              <w:bottom w:val="single" w:sz="12"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741</w:t>
            </w:r>
          </w:p>
        </w:tc>
        <w:tc>
          <w:tcPr>
            <w:tcW w:w="285" w:type="dxa"/>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125" w:type="dxa"/>
            <w:tcBorders>
              <w:top w:val="single" w:sz="4" w:space="0" w:color="000000"/>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879</w:t>
            </w:r>
          </w:p>
        </w:tc>
        <w:tc>
          <w:tcPr>
            <w:tcW w:w="285" w:type="dxa"/>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00" w:type="dxa"/>
            <w:gridSpan w:val="2"/>
            <w:vMerge w:val="restart"/>
            <w:tcBorders>
              <w:top w:val="single" w:sz="12" w:space="0" w:color="000000"/>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Bénéfice de base par action tel que déclaré</w:t>
            </w:r>
          </w:p>
        </w:tc>
        <w:tc>
          <w:tcPr>
            <w:tcW w:w="318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1125" w:type="dxa"/>
            <w:tcBorders>
              <w:top w:val="single" w:sz="12" w:space="0" w:color="000000"/>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1,00</w:t>
            </w:r>
          </w:p>
        </w:tc>
        <w:tc>
          <w:tcPr>
            <w:tcW w:w="285" w:type="dxa"/>
            <w:tcBorders>
              <w:top w:val="single" w:sz="12"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125" w:type="dxa"/>
            <w:tcBorders>
              <w:top w:val="single" w:sz="12" w:space="0" w:color="000000"/>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1,16</w:t>
            </w:r>
          </w:p>
        </w:tc>
        <w:tc>
          <w:tcPr>
            <w:tcW w:w="285" w:type="dxa"/>
            <w:tcBorders>
              <w:top w:val="single" w:sz="12"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800"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i/>
                <w:color w:val="000000"/>
                <w:sz w:val="16"/>
                <w:lang w:val="fr-CA"/>
              </w:rPr>
            </w:pPr>
            <w:r w:rsidRPr="00BC398A">
              <w:rPr>
                <w:rFonts w:ascii="Humnst777 BT" w:eastAsia="Humnst777 BT" w:hAnsi="Humnst777 BT" w:cs="Humnst777 BT"/>
                <w:i/>
                <w:color w:val="000000"/>
                <w:sz w:val="16"/>
                <w:lang w:val="fr-CA"/>
              </w:rPr>
              <w:t>Incidence du rajustement, par action</w:t>
            </w:r>
          </w:p>
        </w:tc>
        <w:tc>
          <w:tcPr>
            <w:tcW w:w="31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1125"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125" w:type="dxa"/>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(0,01)</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00" w:type="dxa"/>
            <w:gridSpan w:val="2"/>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i/>
                <w:color w:val="000000"/>
                <w:sz w:val="16"/>
                <w:lang w:val="fr-CA"/>
              </w:rPr>
            </w:pPr>
            <w:r w:rsidRPr="00BC398A">
              <w:rPr>
                <w:rFonts w:ascii="Humnst777 BT" w:eastAsia="Humnst777 BT" w:hAnsi="Humnst777 BT" w:cs="Humnst777 BT"/>
                <w:i/>
                <w:color w:val="000000"/>
                <w:sz w:val="16"/>
                <w:lang w:val="fr-CA"/>
              </w:rPr>
              <w:t>Bénéfice de base par action rajusté</w:t>
            </w:r>
          </w:p>
        </w:tc>
        <w:tc>
          <w:tcPr>
            <w:tcW w:w="3180" w:type="dxa"/>
            <w:tcBorders>
              <w:top w:val="single" w:sz="4" w:space="0" w:color="000000"/>
              <w:left w:val="nil"/>
              <w:bottom w:val="single" w:sz="12"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1125" w:type="dxa"/>
            <w:tcBorders>
              <w:top w:val="single" w:sz="4" w:space="0" w:color="000000"/>
              <w:left w:val="nil"/>
              <w:bottom w:val="single" w:sz="12"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1,00</w:t>
            </w:r>
          </w:p>
        </w:tc>
        <w:tc>
          <w:tcPr>
            <w:tcW w:w="285" w:type="dxa"/>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125" w:type="dxa"/>
            <w:tcBorders>
              <w:top w:val="single" w:sz="4" w:space="0" w:color="000000"/>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1,15</w:t>
            </w:r>
          </w:p>
        </w:tc>
        <w:tc>
          <w:tcPr>
            <w:tcW w:w="285" w:type="dxa"/>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00" w:type="dxa"/>
            <w:gridSpan w:val="2"/>
            <w:tcBorders>
              <w:top w:val="single" w:sz="12" w:space="0" w:color="000000"/>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Bénéfice dilué par action tel que déclaré</w:t>
            </w:r>
          </w:p>
        </w:tc>
        <w:tc>
          <w:tcPr>
            <w:tcW w:w="318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1125" w:type="dxa"/>
            <w:tcBorders>
              <w:top w:val="single" w:sz="12" w:space="0" w:color="000000"/>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1,00</w:t>
            </w:r>
          </w:p>
        </w:tc>
        <w:tc>
          <w:tcPr>
            <w:tcW w:w="285" w:type="dxa"/>
            <w:tcBorders>
              <w:top w:val="single" w:sz="12"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125" w:type="dxa"/>
            <w:tcBorders>
              <w:top w:val="single" w:sz="12" w:space="0" w:color="000000"/>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1,16</w:t>
            </w:r>
          </w:p>
        </w:tc>
        <w:tc>
          <w:tcPr>
            <w:tcW w:w="285" w:type="dxa"/>
            <w:tcBorders>
              <w:top w:val="single" w:sz="12"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80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i/>
                <w:color w:val="000000"/>
                <w:sz w:val="16"/>
                <w:lang w:val="fr-CA"/>
              </w:rPr>
            </w:pPr>
            <w:r w:rsidRPr="00BC398A">
              <w:rPr>
                <w:rFonts w:ascii="Humnst777 BT" w:eastAsia="Humnst777 BT" w:hAnsi="Humnst777 BT" w:cs="Humnst777 BT"/>
                <w:i/>
                <w:color w:val="000000"/>
                <w:sz w:val="16"/>
                <w:lang w:val="fr-CA"/>
              </w:rPr>
              <w:t>Incidence du rajustement, par action</w:t>
            </w:r>
          </w:p>
        </w:tc>
        <w:tc>
          <w:tcPr>
            <w:tcW w:w="318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1125"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125" w:type="dxa"/>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(0,01)</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00" w:type="dxa"/>
            <w:gridSpan w:val="2"/>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i/>
                <w:color w:val="000000"/>
                <w:sz w:val="16"/>
                <w:lang w:val="fr-CA"/>
              </w:rPr>
            </w:pPr>
            <w:r w:rsidRPr="00BC398A">
              <w:rPr>
                <w:rFonts w:ascii="Humnst777 BT" w:eastAsia="Humnst777 BT" w:hAnsi="Humnst777 BT" w:cs="Humnst777 BT"/>
                <w:i/>
                <w:color w:val="000000"/>
                <w:sz w:val="16"/>
                <w:lang w:val="fr-CA"/>
              </w:rPr>
              <w:t>Bénéfice dilué par action rajusté</w:t>
            </w:r>
          </w:p>
        </w:tc>
        <w:tc>
          <w:tcPr>
            <w:tcW w:w="3180" w:type="dxa"/>
            <w:tcBorders>
              <w:top w:val="single" w:sz="4" w:space="0" w:color="000000"/>
              <w:left w:val="nil"/>
              <w:bottom w:val="single" w:sz="12"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22"/>
                <w:lang w:val="fr-CA"/>
              </w:rPr>
            </w:pPr>
          </w:p>
        </w:tc>
        <w:tc>
          <w:tcPr>
            <w:tcW w:w="1125" w:type="dxa"/>
            <w:tcBorders>
              <w:top w:val="single" w:sz="4" w:space="0" w:color="000000"/>
              <w:left w:val="nil"/>
              <w:bottom w:val="single" w:sz="12"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1,00</w:t>
            </w:r>
          </w:p>
        </w:tc>
        <w:tc>
          <w:tcPr>
            <w:tcW w:w="285" w:type="dxa"/>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125" w:type="dxa"/>
            <w:tcBorders>
              <w:top w:val="single" w:sz="4" w:space="0" w:color="000000"/>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1,15</w:t>
            </w:r>
          </w:p>
        </w:tc>
        <w:tc>
          <w:tcPr>
            <w:tcW w:w="285" w:type="dxa"/>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bl>
    <w:p w:rsidR="00A40E1E" w:rsidRDefault="00BC398A">
      <w:pPr>
        <w:pBdr>
          <w:top w:val="nil"/>
          <w:left w:val="nil"/>
          <w:bottom w:val="nil"/>
          <w:right w:val="nil"/>
          <w:between w:val="nil"/>
          <w:bar w:val="nil"/>
        </w:pBdr>
        <w:spacing w:line="260" w:lineRule="exact"/>
        <w:rPr>
          <w:rFonts w:ascii="Humnst777 BT" w:eastAsia="Humnst777 BT" w:hAnsi="Humnst777 BT" w:cs="Humnst777 BT"/>
          <w:sz w:val="17"/>
          <w:szCs w:val="22"/>
          <w:bdr w:val="nil"/>
          <w:lang w:val="en-US" w:eastAsia="en-US"/>
        </w:rPr>
      </w:pPr>
      <w:r>
        <w:rPr>
          <w:rFonts w:ascii="Humnst777 BT" w:eastAsia="Humnst777 BT" w:hAnsi="Humnst777 BT" w:cs="Humnst777 BT"/>
          <w:sz w:val="17"/>
          <w:szCs w:val="22"/>
          <w:bdr w:val="nil"/>
          <w:lang w:val="en-US" w:eastAsia="en-US"/>
        </w:rPr>
        <w:br/>
      </w:r>
    </w:p>
    <w:p w:rsidR="001A5C79" w:rsidRDefault="00BC398A" w:rsidP="001A5C79">
      <w:pPr>
        <w:pStyle w:val="BodyText28"/>
        <w:pBdr>
          <w:top w:val="nil"/>
          <w:left w:val="nil"/>
          <w:bottom w:val="nil"/>
          <w:right w:val="nil"/>
          <w:between w:val="nil"/>
          <w:bar w:val="nil"/>
        </w:pBdr>
        <w:tabs>
          <w:tab w:val="left" w:pos="300"/>
        </w:tabs>
        <w:spacing w:line="260" w:lineRule="exact"/>
        <w:rPr>
          <w:b/>
          <w:color w:val="0070C0"/>
          <w:sz w:val="22"/>
          <w:szCs w:val="22"/>
          <w:bdr w:val="nil"/>
        </w:rPr>
      </w:pPr>
      <w:r w:rsidRPr="00BF5069">
        <w:rPr>
          <w:b/>
          <w:color w:val="0070C0"/>
          <w:sz w:val="22"/>
          <w:szCs w:val="22"/>
          <w:bdr w:val="nil"/>
        </w:rPr>
        <w:t>Devise constante</w:t>
      </w:r>
    </w:p>
    <w:p w:rsidR="00BF5069" w:rsidRPr="00BF5069" w:rsidRDefault="00BC398A" w:rsidP="001A5C79">
      <w:pPr>
        <w:pStyle w:val="BodyText28"/>
        <w:pBdr>
          <w:top w:val="nil"/>
          <w:left w:val="nil"/>
          <w:bottom w:val="nil"/>
          <w:right w:val="nil"/>
          <w:between w:val="nil"/>
          <w:bar w:val="nil"/>
        </w:pBdr>
        <w:tabs>
          <w:tab w:val="left" w:pos="300"/>
        </w:tabs>
        <w:spacing w:line="260" w:lineRule="exact"/>
        <w:rPr>
          <w:b/>
          <w:bCs/>
          <w:color w:val="0070C0"/>
          <w:sz w:val="22"/>
          <w:szCs w:val="22"/>
          <w:bdr w:val="nil"/>
        </w:rPr>
      </w:pPr>
    </w:p>
    <w:p w:rsidR="001A5C79" w:rsidRDefault="00BC398A" w:rsidP="004B3958">
      <w:pPr>
        <w:pStyle w:val="Normal49"/>
        <w:pBdr>
          <w:top w:val="nil"/>
          <w:left w:val="nil"/>
          <w:bottom w:val="nil"/>
          <w:right w:val="nil"/>
          <w:between w:val="nil"/>
          <w:bar w:val="nil"/>
        </w:pBdr>
        <w:tabs>
          <w:tab w:val="left" w:pos="302"/>
        </w:tabs>
        <w:autoSpaceDE w:val="0"/>
        <w:autoSpaceDN w:val="0"/>
        <w:adjustRightInd w:val="0"/>
        <w:spacing w:line="260" w:lineRule="exact"/>
        <w:rPr>
          <w:rFonts w:ascii="Humnst777 BT" w:eastAsia="Arial Unicode MS" w:hAnsi="Humnst777 BT" w:cs="Arial Unicode MS"/>
          <w:sz w:val="17"/>
          <w:szCs w:val="17"/>
          <w:highlight w:val="yellow"/>
          <w:bdr w:val="nil"/>
        </w:rPr>
      </w:pPr>
      <w:r>
        <w:rPr>
          <w:rFonts w:ascii="Humnst777 BT" w:hAnsi="Humnst777 BT"/>
          <w:sz w:val="17"/>
          <w:bdr w:val="nil"/>
        </w:rPr>
        <w:t>La présentation des résultats financiers en devise constante permet d’examiner les résultats financiers sans que soit prise en compte l’incidence des fluctuations des taux de change, ce qui facilite les comparaisons entre les périodes dans l’analyse des te</w:t>
      </w:r>
      <w:r>
        <w:rPr>
          <w:rFonts w:ascii="Humnst777 BT" w:hAnsi="Humnst777 BT"/>
          <w:sz w:val="17"/>
          <w:bdr w:val="nil"/>
        </w:rPr>
        <w:t>ndances au chapitre de la performance économique. Les mesures déclarées en devise constante sont considérées comme non conformes aux PCGR, ne sont pas définies de façon normalisée en vertu des PCGR et peuvent, par conséquent, ne pas être comparables aux me</w:t>
      </w:r>
      <w:r>
        <w:rPr>
          <w:rFonts w:ascii="Humnst777 BT" w:hAnsi="Humnst777 BT"/>
          <w:sz w:val="17"/>
          <w:bdr w:val="nil"/>
        </w:rPr>
        <w:t xml:space="preserve">sures semblables présentées par d’autres sociétés. On obtient des résultats financiers en devise constante en convertissant les résultats libellés en dollars US de la période </w:t>
      </w:r>
      <w:r>
        <w:rPr>
          <w:rFonts w:ascii="Humnst777 BT" w:hAnsi="Humnst777 BT"/>
          <w:sz w:val="17"/>
          <w:bdr w:val="nil"/>
        </w:rPr>
        <w:lastRenderedPageBreak/>
        <w:t>en cours aux taux de change de la période correspondante de l’exercice précédent.</w:t>
      </w:r>
      <w:r>
        <w:rPr>
          <w:rFonts w:ascii="Humnst777 BT" w:hAnsi="Humnst777 BT"/>
          <w:sz w:val="17"/>
          <w:bdr w:val="nil"/>
        </w:rPr>
        <w:t xml:space="preserve"> Les taux de change moyens se sont établis à 1,2</w:t>
      </w:r>
      <w:r>
        <w:rPr>
          <w:rFonts w:ascii="Humnst777 BT" w:hAnsi="Humnst777 BT"/>
          <w:sz w:val="17"/>
          <w:bdr w:val="nil"/>
        </w:rPr>
        <w:t>6</w:t>
      </w:r>
      <w:r>
        <w:rPr>
          <w:rFonts w:ascii="Humnst777 BT" w:hAnsi="Humnst777 BT"/>
          <w:sz w:val="17"/>
          <w:bdr w:val="nil"/>
        </w:rPr>
        <w:t> $ et à 1,3</w:t>
      </w:r>
      <w:r>
        <w:rPr>
          <w:rFonts w:ascii="Humnst777 BT" w:hAnsi="Humnst777 BT"/>
          <w:sz w:val="17"/>
          <w:bdr w:val="nil"/>
        </w:rPr>
        <w:t>2</w:t>
      </w:r>
      <w:r>
        <w:rPr>
          <w:rFonts w:ascii="Humnst777 BT" w:hAnsi="Humnst777 BT"/>
          <w:sz w:val="17"/>
          <w:bdr w:val="nil"/>
        </w:rPr>
        <w:t> $ par 1,00 $ US, respectivement, pour les trois mois terminés le</w:t>
      </w:r>
      <w:r>
        <w:rPr>
          <w:rFonts w:ascii="Humnst777 BT" w:hAnsi="Humnst777 BT"/>
          <w:sz w:val="17"/>
          <w:bdr w:val="nil"/>
        </w:rPr>
        <w:t>s</w:t>
      </w:r>
      <w:r>
        <w:rPr>
          <w:rFonts w:ascii="Humnst777 BT" w:hAnsi="Humnst777 BT"/>
          <w:sz w:val="17"/>
          <w:bdr w:val="nil"/>
        </w:rPr>
        <w:t xml:space="preserve"> 31 </w:t>
      </w:r>
      <w:r>
        <w:rPr>
          <w:rFonts w:ascii="Humnst777 BT" w:hAnsi="Humnst777 BT"/>
          <w:sz w:val="17"/>
          <w:bdr w:val="nil"/>
        </w:rPr>
        <w:t>mars</w:t>
      </w:r>
      <w:r>
        <w:rPr>
          <w:rFonts w:ascii="Humnst777 BT" w:hAnsi="Humnst777 BT"/>
          <w:sz w:val="17"/>
          <w:bdr w:val="nil"/>
        </w:rPr>
        <w:t> 201</w:t>
      </w:r>
      <w:r>
        <w:rPr>
          <w:rFonts w:ascii="Humnst777 BT" w:hAnsi="Humnst777 BT"/>
          <w:sz w:val="17"/>
          <w:bdr w:val="nil"/>
        </w:rPr>
        <w:t>8 et 2017</w:t>
      </w:r>
      <w:r>
        <w:rPr>
          <w:rFonts w:ascii="Humnst777 BT" w:hAnsi="Humnst777 BT"/>
          <w:sz w:val="17"/>
          <w:bdr w:val="nil"/>
        </w:rPr>
        <w:t>.</w:t>
      </w:r>
    </w:p>
    <w:p w:rsidR="00D86095" w:rsidRPr="00126807" w:rsidRDefault="00BC398A" w:rsidP="004B3958">
      <w:pPr>
        <w:pStyle w:val="Normal49"/>
        <w:pBdr>
          <w:top w:val="nil"/>
          <w:left w:val="nil"/>
          <w:bottom w:val="nil"/>
          <w:right w:val="nil"/>
          <w:between w:val="nil"/>
          <w:bar w:val="nil"/>
        </w:pBdr>
        <w:tabs>
          <w:tab w:val="left" w:pos="302"/>
        </w:tabs>
        <w:autoSpaceDE w:val="0"/>
        <w:autoSpaceDN w:val="0"/>
        <w:adjustRightInd w:val="0"/>
        <w:spacing w:line="260" w:lineRule="exact"/>
        <w:rPr>
          <w:rFonts w:ascii="Humnst777 BT" w:hAnsi="Humnst777 BT"/>
          <w:sz w:val="17"/>
          <w:bdr w:val="nil"/>
        </w:rPr>
      </w:pPr>
      <w:r>
        <w:rPr>
          <w:bdr w:val="nil"/>
        </w:rPr>
        <w:tab/>
      </w:r>
      <w:r>
        <w:rPr>
          <w:rFonts w:ascii="Humnst777 BT" w:hAnsi="Humnst777 BT"/>
          <w:sz w:val="17"/>
          <w:bdr w:val="nil"/>
        </w:rPr>
        <w:t xml:space="preserve">En devise constante, le bénéfice net de la Compagnie pour les trois mois terminés le 31 mars 2018 aurait été plus élevé de </w:t>
      </w:r>
      <w:r>
        <w:rPr>
          <w:rFonts w:ascii="Humnst777 BT" w:hAnsi="Humnst777 BT"/>
          <w:sz w:val="17"/>
          <w:szCs w:val="17"/>
          <w:bdr w:val="nil"/>
        </w:rPr>
        <w:t>24</w:t>
      </w:r>
      <w:r>
        <w:rPr>
          <w:rFonts w:ascii="Humnst777 BT" w:hAnsi="Humnst777 BT"/>
          <w:sz w:val="17"/>
          <w:bdr w:val="nil"/>
        </w:rPr>
        <w:t> M$ (0,03 $ par action après dilution).</w:t>
      </w:r>
    </w:p>
    <w:p w:rsidR="00A40E1E" w:rsidRPr="00BC398A" w:rsidRDefault="00BC398A">
      <w:pPr>
        <w:pBdr>
          <w:top w:val="nil"/>
          <w:left w:val="nil"/>
          <w:bottom w:val="nil"/>
          <w:right w:val="nil"/>
          <w:between w:val="nil"/>
          <w:bar w:val="nil"/>
        </w:pBdr>
        <w:spacing w:line="260" w:lineRule="exact"/>
        <w:rPr>
          <w:rFonts w:ascii="Humnst777 BT" w:eastAsia="Humnst777 BT" w:hAnsi="Humnst777 BT" w:cs="Humnst777 BT"/>
          <w:sz w:val="17"/>
          <w:szCs w:val="22"/>
          <w:bdr w:val="nil"/>
          <w:lang w:val="fr-CA" w:eastAsia="en-US"/>
        </w:rPr>
      </w:pPr>
      <w:r w:rsidRPr="00BC398A">
        <w:rPr>
          <w:rFonts w:ascii="Humnst777 BT" w:eastAsia="Humnst777 BT" w:hAnsi="Humnst777 BT" w:cs="Humnst777 BT"/>
          <w:sz w:val="17"/>
          <w:szCs w:val="22"/>
          <w:bdr w:val="nil"/>
          <w:lang w:val="fr-CA" w:eastAsia="en-US"/>
        </w:rPr>
        <w:br/>
      </w:r>
    </w:p>
    <w:p w:rsidR="008211F7" w:rsidRPr="00FC36D7" w:rsidRDefault="00BC398A" w:rsidP="008211F7">
      <w:pPr>
        <w:pStyle w:val="Body"/>
        <w:pBdr>
          <w:top w:val="nil"/>
          <w:left w:val="nil"/>
          <w:bottom w:val="nil"/>
          <w:right w:val="nil"/>
          <w:between w:val="nil"/>
          <w:bar w:val="nil"/>
        </w:pBdr>
        <w:spacing w:line="260" w:lineRule="exact"/>
        <w:jc w:val="both"/>
        <w:rPr>
          <w:rFonts w:ascii="Humnst777 BT" w:eastAsia="Humnst777 BT" w:hAnsi="Humnst777 BT" w:cs="Humnst777 BT"/>
          <w:b/>
          <w:color w:val="0070C0"/>
          <w:sz w:val="22"/>
          <w:szCs w:val="22"/>
          <w:bdr w:val="nil"/>
        </w:rPr>
      </w:pPr>
      <w:r w:rsidRPr="00FC36D7">
        <w:rPr>
          <w:rFonts w:ascii="Humnst777 BT" w:eastAsia="Humnst777 BT" w:hAnsi="Humnst777 BT" w:cs="Humnst777 BT"/>
          <w:b/>
          <w:color w:val="0070C0"/>
          <w:sz w:val="22"/>
          <w:szCs w:val="22"/>
          <w:bdr w:val="nil"/>
        </w:rPr>
        <w:t>Flux de trésorerie disponibles</w:t>
      </w:r>
    </w:p>
    <w:p w:rsidR="00A40E1E" w:rsidRPr="00BC398A" w:rsidRDefault="00A40E1E">
      <w:pPr>
        <w:pBdr>
          <w:top w:val="nil"/>
          <w:left w:val="nil"/>
          <w:bottom w:val="nil"/>
          <w:right w:val="nil"/>
          <w:between w:val="nil"/>
          <w:bar w:val="nil"/>
        </w:pBdr>
        <w:spacing w:line="260" w:lineRule="exact"/>
        <w:rPr>
          <w:rFonts w:ascii="Humnst777 BT" w:eastAsia="Humnst777 BT" w:hAnsi="Humnst777 BT" w:cs="Humnst777 BT"/>
          <w:sz w:val="17"/>
          <w:szCs w:val="22"/>
          <w:bdr w:val="nil"/>
          <w:lang w:val="fr-CA" w:eastAsia="en-US"/>
        </w:rPr>
      </w:pPr>
    </w:p>
    <w:p w:rsidR="00D86095" w:rsidRDefault="00BC398A" w:rsidP="003D2D45">
      <w:pPr>
        <w:pStyle w:val="Heading1"/>
        <w:pBdr>
          <w:top w:val="nil"/>
          <w:left w:val="nil"/>
          <w:bottom w:val="nil"/>
          <w:right w:val="nil"/>
          <w:between w:val="nil"/>
          <w:bar w:val="nil"/>
        </w:pBdr>
        <w:tabs>
          <w:tab w:val="left" w:pos="302"/>
        </w:tabs>
        <w:ind w:right="302"/>
        <w:rPr>
          <w:i w:val="0"/>
          <w:bdr w:val="nil"/>
        </w:rPr>
      </w:pPr>
      <w:r>
        <w:rPr>
          <w:i w:val="0"/>
          <w:bdr w:val="nil"/>
        </w:rPr>
        <w:t xml:space="preserve">La direction estime que les flux de trésorerie disponibles constituent une mesure utile des liquidités puisqu’ils démontrent la capacité de la Compagnie de générer des flux de trésorerie pour des obligations de dette et à des fins discrétionnaires, telles </w:t>
      </w:r>
      <w:r>
        <w:rPr>
          <w:i w:val="0"/>
          <w:bdr w:val="nil"/>
        </w:rPr>
        <w:t>que le versement de dividendes, les rachats d’actions et les occasions stratégiques. La Compagnie définit les flux de trésorerie disponibles comme la différence entre les flux de trésorerie nets provenant des activités d’exploitation et les flux de trésore</w:t>
      </w:r>
      <w:r>
        <w:rPr>
          <w:i w:val="0"/>
          <w:bdr w:val="nil"/>
        </w:rPr>
        <w:t>rie nets utilisés par les activités d’investissement, rajustés pour tenir compte de l’incidence des principales acquisitions, s’il y a lieu. Les flux de trésorerie disponibles ne sont pas définis de façon normalisée en vertu des PCGR et peuvent, par conséq</w:t>
      </w:r>
      <w:r>
        <w:rPr>
          <w:i w:val="0"/>
          <w:bdr w:val="nil"/>
        </w:rPr>
        <w:t>uent, ne pas être comparables aux mesures semblables présentées par d’autres sociétés.</w:t>
      </w:r>
    </w:p>
    <w:p w:rsidR="00D532D0" w:rsidRPr="00D532D0" w:rsidRDefault="00BC398A" w:rsidP="003D2D45">
      <w:pPr>
        <w:pBdr>
          <w:top w:val="nil"/>
          <w:left w:val="nil"/>
          <w:bottom w:val="nil"/>
          <w:right w:val="nil"/>
          <w:between w:val="nil"/>
          <w:bar w:val="nil"/>
        </w:pBdr>
        <w:tabs>
          <w:tab w:val="left" w:pos="302"/>
        </w:tabs>
        <w:spacing w:line="260" w:lineRule="exact"/>
        <w:ind w:right="302"/>
        <w:rPr>
          <w:rFonts w:ascii="Humnst777 BT" w:eastAsia="Calibri" w:hAnsi="Humnst777 BT" w:cs="Arial"/>
          <w:sz w:val="17"/>
          <w:szCs w:val="17"/>
          <w:bdr w:val="nil"/>
          <w:lang w:val="fr-CA" w:eastAsia="fr-CA" w:bidi="fr-CA"/>
        </w:rPr>
      </w:pPr>
      <w:r>
        <w:rPr>
          <w:rFonts w:ascii="Humnst777 BT" w:eastAsia="Calibri" w:hAnsi="Humnst777 BT" w:cs="Arial"/>
          <w:sz w:val="17"/>
          <w:szCs w:val="17"/>
          <w:bdr w:val="nil"/>
          <w:lang w:val="fr-CA" w:eastAsia="fr-CA" w:bidi="fr-CA"/>
        </w:rPr>
        <w:tab/>
      </w:r>
      <w:r w:rsidRPr="00D532D0">
        <w:rPr>
          <w:rFonts w:ascii="Humnst777 BT" w:eastAsia="Calibri" w:hAnsi="Humnst777 BT" w:cs="Arial"/>
          <w:sz w:val="17"/>
          <w:szCs w:val="17"/>
          <w:bdr w:val="nil"/>
          <w:lang w:val="fr-CA" w:eastAsia="fr-CA" w:bidi="fr-CA"/>
        </w:rPr>
        <w:t>Le</w:t>
      </w:r>
      <w:r>
        <w:rPr>
          <w:rFonts w:ascii="Humnst777 BT" w:eastAsia="Calibri" w:hAnsi="Humnst777 BT" w:cs="Arial"/>
          <w:sz w:val="17"/>
          <w:szCs w:val="17"/>
          <w:bdr w:val="nil"/>
          <w:lang w:val="fr-CA" w:eastAsia="fr-CA" w:bidi="fr-CA"/>
        </w:rPr>
        <w:t xml:space="preserve"> tableau ci-après fait le rapprochement des f</w:t>
      </w:r>
      <w:r w:rsidRPr="00D532D0">
        <w:rPr>
          <w:rFonts w:ascii="Humnst777 BT" w:eastAsia="Calibri" w:hAnsi="Humnst777 BT" w:cs="Arial"/>
          <w:sz w:val="17"/>
          <w:szCs w:val="17"/>
          <w:bdr w:val="nil"/>
          <w:lang w:val="fr-CA" w:eastAsia="fr-CA" w:bidi="fr-CA"/>
        </w:rPr>
        <w:t>lux de trésorerie nets provenant des activités d’explo</w:t>
      </w:r>
      <w:r w:rsidRPr="00D532D0">
        <w:rPr>
          <w:rFonts w:ascii="Humnst777 BT" w:eastAsia="Calibri" w:hAnsi="Humnst777 BT" w:cs="Arial"/>
          <w:sz w:val="17"/>
          <w:szCs w:val="17"/>
          <w:bdr w:val="nil"/>
          <w:lang w:val="fr-CA" w:eastAsia="fr-CA" w:bidi="fr-CA"/>
        </w:rPr>
        <w:t>itation</w:t>
      </w:r>
      <w:r>
        <w:rPr>
          <w:rFonts w:ascii="Humnst777 BT" w:eastAsia="Calibri" w:hAnsi="Humnst777 BT" w:cs="Arial"/>
          <w:sz w:val="17"/>
          <w:szCs w:val="17"/>
          <w:bdr w:val="nil"/>
          <w:lang w:val="fr-CA" w:eastAsia="fr-CA" w:bidi="fr-CA"/>
        </w:rPr>
        <w:t xml:space="preserve">, </w:t>
      </w:r>
      <w:r w:rsidRPr="00D532D0">
        <w:rPr>
          <w:rFonts w:ascii="Humnst777 BT" w:eastAsia="Calibri" w:hAnsi="Humnst777 BT" w:cs="Arial"/>
          <w:sz w:val="17"/>
          <w:szCs w:val="17"/>
          <w:bdr w:val="nil"/>
          <w:lang w:val="fr-CA" w:eastAsia="fr-CA" w:bidi="fr-CA"/>
        </w:rPr>
        <w:t xml:space="preserve">tels que déclarés pour les </w:t>
      </w:r>
      <w:r>
        <w:rPr>
          <w:rFonts w:ascii="Humnst777 BT" w:eastAsia="Calibri" w:hAnsi="Humnst777 BT" w:cs="Arial"/>
          <w:sz w:val="17"/>
          <w:szCs w:val="17"/>
          <w:bdr w:val="nil"/>
          <w:lang w:val="fr-CA" w:eastAsia="fr-CA" w:bidi="fr-CA"/>
        </w:rPr>
        <w:t>trois mois</w:t>
      </w:r>
      <w:r w:rsidRPr="00D532D0">
        <w:rPr>
          <w:rFonts w:ascii="Humnst777 BT" w:eastAsia="Calibri" w:hAnsi="Humnst777 BT" w:cs="Arial"/>
          <w:sz w:val="17"/>
          <w:szCs w:val="17"/>
          <w:bdr w:val="nil"/>
          <w:lang w:val="fr-CA" w:eastAsia="fr-CA" w:bidi="fr-CA"/>
        </w:rPr>
        <w:t xml:space="preserve"> terminés les 3</w:t>
      </w:r>
      <w:r>
        <w:rPr>
          <w:rFonts w:ascii="Humnst777 BT" w:eastAsia="Calibri" w:hAnsi="Humnst777 BT" w:cs="Arial"/>
          <w:sz w:val="17"/>
          <w:szCs w:val="17"/>
          <w:bdr w:val="nil"/>
          <w:lang w:val="fr-CA" w:eastAsia="fr-CA" w:bidi="fr-CA"/>
        </w:rPr>
        <w:t>1 mars 2018 et 2017, et les flux de trésorerie d</w:t>
      </w:r>
      <w:r>
        <w:rPr>
          <w:rFonts w:ascii="Humnst777 BT" w:eastAsia="Calibri" w:hAnsi="Humnst777 BT" w:cs="Arial"/>
          <w:sz w:val="17"/>
          <w:szCs w:val="17"/>
          <w:bdr w:val="nil"/>
          <w:lang w:val="fr-CA" w:eastAsia="fr-CA" w:bidi="fr-CA"/>
        </w:rPr>
        <w:t>isponibles :</w:t>
      </w:r>
    </w:p>
    <w:p w:rsidR="00A40E1E" w:rsidRPr="00BC398A" w:rsidRDefault="00A40E1E">
      <w:pPr>
        <w:spacing w:line="260" w:lineRule="exact"/>
        <w:rPr>
          <w:rFonts w:ascii="Humnst777 BT" w:eastAsia="Humnst777 BT" w:hAnsi="Humnst777 BT" w:cs="Humnst777 BT"/>
          <w:sz w:val="17"/>
          <w:lang w:val="fr-CA"/>
        </w:rPr>
      </w:pPr>
    </w:p>
    <w:tbl>
      <w:tblPr>
        <w:tblStyle w:val="CDMRange2"/>
        <w:tblW w:w="10800" w:type="dxa"/>
        <w:tblLook w:val="0600" w:firstRow="0" w:lastRow="0" w:firstColumn="0" w:lastColumn="0" w:noHBand="1" w:noVBand="1"/>
      </w:tblPr>
      <w:tblGrid>
        <w:gridCol w:w="301"/>
        <w:gridCol w:w="4711"/>
        <w:gridCol w:w="3016"/>
        <w:gridCol w:w="1125"/>
        <w:gridCol w:w="301"/>
        <w:gridCol w:w="1125"/>
        <w:gridCol w:w="301"/>
      </w:tblGrid>
      <w:tr w:rsidR="00A40E1E">
        <w:trPr>
          <w:cantSplit/>
          <w:trHeight w:hRule="exact" w:val="255"/>
        </w:trPr>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Calibri" w:eastAsia="Calibri" w:hAnsi="Calibri" w:cs="Calibri"/>
                <w:color w:val="000000"/>
                <w:sz w:val="22"/>
                <w:lang w:val="fr-CA"/>
              </w:rPr>
            </w:pPr>
          </w:p>
        </w:tc>
        <w:tc>
          <w:tcPr>
            <w:tcW w:w="469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Calibri" w:eastAsia="Calibri" w:hAnsi="Calibri" w:cs="Calibri"/>
                <w:color w:val="000000"/>
                <w:sz w:val="22"/>
                <w:lang w:val="fr-CA"/>
              </w:rPr>
            </w:pPr>
          </w:p>
        </w:tc>
        <w:tc>
          <w:tcPr>
            <w:tcW w:w="3000"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Calibri" w:eastAsia="Calibri" w:hAnsi="Calibri" w:cs="Calibri"/>
                <w:color w:val="000000"/>
                <w:sz w:val="22"/>
                <w:lang w:val="fr-CA"/>
              </w:rPr>
            </w:pPr>
          </w:p>
        </w:tc>
        <w:tc>
          <w:tcPr>
            <w:tcW w:w="2820" w:type="dxa"/>
            <w:gridSpan w:val="4"/>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center"/>
              <w:rPr>
                <w:rFonts w:ascii="Humnst777 BT" w:eastAsia="Humnst777 BT" w:hAnsi="Humnst777 BT" w:cs="Humnst777 BT"/>
                <w:b/>
                <w:color w:val="000000"/>
                <w:sz w:val="16"/>
              </w:rPr>
            </w:pPr>
            <w:r>
              <w:rPr>
                <w:rFonts w:ascii="Humnst777 BT" w:eastAsia="Humnst777 BT" w:hAnsi="Humnst777 BT" w:cs="Humnst777 BT"/>
                <w:b/>
                <w:color w:val="000000"/>
                <w:sz w:val="16"/>
              </w:rPr>
              <w:t>Pour les trois mois</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Calibri" w:eastAsia="Calibri" w:hAnsi="Calibri" w:cs="Calibri"/>
                <w:color w:val="000000"/>
                <w:sz w:val="22"/>
              </w:rPr>
            </w:pPr>
          </w:p>
        </w:tc>
        <w:tc>
          <w:tcPr>
            <w:tcW w:w="469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Cn BT" w:eastAsia="Humnst777 Cn BT" w:hAnsi="Humnst777 Cn BT" w:cs="Humnst777 Cn BT"/>
                <w:color w:val="000000"/>
                <w:sz w:val="22"/>
              </w:rPr>
            </w:pPr>
          </w:p>
        </w:tc>
        <w:tc>
          <w:tcPr>
            <w:tcW w:w="300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Cn BT" w:eastAsia="Humnst777 Cn BT" w:hAnsi="Humnst777 Cn BT" w:cs="Humnst777 Cn BT"/>
                <w:color w:val="000000"/>
                <w:sz w:val="22"/>
              </w:rPr>
            </w:pPr>
          </w:p>
        </w:tc>
        <w:tc>
          <w:tcPr>
            <w:tcW w:w="2820" w:type="dxa"/>
            <w:gridSpan w:val="4"/>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center"/>
              <w:rPr>
                <w:rFonts w:ascii="Humnst777 BT" w:eastAsia="Humnst777 BT" w:hAnsi="Humnst777 BT" w:cs="Humnst777 BT"/>
                <w:b/>
                <w:color w:val="000000"/>
                <w:sz w:val="16"/>
              </w:rPr>
            </w:pPr>
            <w:r>
              <w:rPr>
                <w:rFonts w:ascii="Humnst777 BT" w:eastAsia="Humnst777 BT" w:hAnsi="Humnst777 BT" w:cs="Humnst777 BT"/>
                <w:b/>
                <w:color w:val="000000"/>
                <w:sz w:val="16"/>
              </w:rPr>
              <w:t>terminés le 31 mars</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98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En millions</w:t>
            </w:r>
          </w:p>
        </w:tc>
        <w:tc>
          <w:tcPr>
            <w:tcW w:w="30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4"/>
              </w:rPr>
            </w:pPr>
          </w:p>
        </w:tc>
        <w:tc>
          <w:tcPr>
            <w:tcW w:w="1125"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2018</w:t>
            </w:r>
          </w:p>
        </w:tc>
        <w:tc>
          <w:tcPr>
            <w:tcW w:w="285"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center"/>
              <w:rPr>
                <w:rFonts w:ascii="Humnst777 BT" w:eastAsia="Humnst777 BT" w:hAnsi="Humnst777 BT" w:cs="Humnst777 BT"/>
                <w:i/>
                <w:color w:val="000000"/>
                <w:sz w:val="14"/>
              </w:rPr>
            </w:pPr>
            <w:r>
              <w:rPr>
                <w:rFonts w:ascii="Humnst777 BT" w:eastAsia="Humnst777 BT" w:hAnsi="Humnst777 BT" w:cs="Humnst777 BT"/>
                <w:i/>
                <w:color w:val="000000"/>
                <w:sz w:val="14"/>
              </w:rPr>
              <w:t xml:space="preserve"> </w:t>
            </w:r>
          </w:p>
        </w:tc>
        <w:tc>
          <w:tcPr>
            <w:tcW w:w="1125"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2017</w:t>
            </w:r>
          </w:p>
        </w:tc>
        <w:tc>
          <w:tcPr>
            <w:tcW w:w="28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980" w:type="dxa"/>
            <w:gridSpan w:val="2"/>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Flux de trésorerie nets provenant des activités d’exploitation</w:t>
            </w:r>
          </w:p>
        </w:tc>
        <w:tc>
          <w:tcPr>
            <w:tcW w:w="30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1125" w:type="dxa"/>
            <w:tcBorders>
              <w:top w:val="single" w:sz="4" w:space="0" w:color="000000"/>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755</w:t>
            </w:r>
          </w:p>
        </w:tc>
        <w:tc>
          <w:tcPr>
            <w:tcW w:w="285" w:type="dxa"/>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125" w:type="dxa"/>
            <w:tcBorders>
              <w:top w:val="single" w:sz="4" w:space="0" w:color="000000"/>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1 256</w:t>
            </w:r>
          </w:p>
        </w:tc>
        <w:tc>
          <w:tcPr>
            <w:tcW w:w="285" w:type="dxa"/>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4980"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Flux de </w:t>
            </w:r>
            <w:r w:rsidRPr="00BC398A">
              <w:rPr>
                <w:rFonts w:ascii="Humnst777 BT" w:eastAsia="Humnst777 BT" w:hAnsi="Humnst777 BT" w:cs="Humnst777 BT"/>
                <w:color w:val="000000"/>
                <w:sz w:val="16"/>
                <w:lang w:val="fr-CA"/>
              </w:rPr>
              <w:t>trésorerie nets utilisés par les activités d’investissement</w:t>
            </w:r>
          </w:p>
        </w:tc>
        <w:tc>
          <w:tcPr>
            <w:tcW w:w="30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1125" w:type="dxa"/>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(433)</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4"/>
              </w:rPr>
            </w:pPr>
          </w:p>
        </w:tc>
        <w:tc>
          <w:tcPr>
            <w:tcW w:w="1125" w:type="dxa"/>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(408)</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4"/>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980" w:type="dxa"/>
            <w:gridSpan w:val="2"/>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Flux de trésorerie disponibles</w:t>
            </w:r>
          </w:p>
        </w:tc>
        <w:tc>
          <w:tcPr>
            <w:tcW w:w="3000" w:type="dxa"/>
            <w:tcBorders>
              <w:top w:val="single" w:sz="4" w:space="0" w:color="000000"/>
              <w:left w:val="nil"/>
              <w:bottom w:val="single" w:sz="12"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1125" w:type="dxa"/>
            <w:tcBorders>
              <w:top w:val="single" w:sz="4" w:space="0" w:color="000000"/>
              <w:left w:val="nil"/>
              <w:bottom w:val="single" w:sz="12"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322</w:t>
            </w:r>
          </w:p>
        </w:tc>
        <w:tc>
          <w:tcPr>
            <w:tcW w:w="285" w:type="dxa"/>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125" w:type="dxa"/>
            <w:tcBorders>
              <w:top w:val="single" w:sz="4" w:space="0" w:color="000000"/>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848</w:t>
            </w:r>
          </w:p>
        </w:tc>
        <w:tc>
          <w:tcPr>
            <w:tcW w:w="285" w:type="dxa"/>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bl>
    <w:p w:rsidR="00A40E1E" w:rsidRDefault="00BC398A">
      <w:pPr>
        <w:pBdr>
          <w:top w:val="nil"/>
          <w:left w:val="nil"/>
          <w:bottom w:val="nil"/>
          <w:right w:val="nil"/>
          <w:between w:val="nil"/>
          <w:bar w:val="nil"/>
        </w:pBdr>
        <w:spacing w:line="260" w:lineRule="exact"/>
        <w:jc w:val="both"/>
        <w:rPr>
          <w:rFonts w:ascii="Humnst777 BT" w:eastAsia="Humnst777 BT" w:hAnsi="Humnst777 BT" w:cs="Humnst777 BT"/>
          <w:color w:val="000000"/>
          <w:sz w:val="17"/>
          <w:szCs w:val="20"/>
          <w:bdr w:val="nil"/>
          <w:lang w:val="fr-CA" w:eastAsia="fr-CA" w:bidi="fr-CA"/>
        </w:rPr>
      </w:pPr>
      <w:r>
        <w:rPr>
          <w:rFonts w:ascii="Humnst777 BT" w:eastAsia="Humnst777 BT" w:hAnsi="Humnst777 BT" w:cs="Humnst777 BT"/>
          <w:color w:val="000000"/>
          <w:sz w:val="17"/>
          <w:szCs w:val="20"/>
          <w:bdr w:val="nil"/>
          <w:lang w:val="fr-CA" w:eastAsia="fr-CA" w:bidi="fr-CA"/>
        </w:rPr>
        <w:br/>
      </w:r>
    </w:p>
    <w:p w:rsidR="00F05408" w:rsidRPr="00F05408" w:rsidRDefault="00BC398A" w:rsidP="00F05408">
      <w:pPr>
        <w:pBdr>
          <w:top w:val="nil"/>
          <w:left w:val="nil"/>
          <w:bottom w:val="nil"/>
          <w:right w:val="nil"/>
          <w:between w:val="nil"/>
          <w:bar w:val="nil"/>
        </w:pBdr>
        <w:spacing w:line="260" w:lineRule="exact"/>
        <w:jc w:val="both"/>
        <w:rPr>
          <w:rFonts w:ascii="Humnst777 BT" w:hAnsi="Humnst777 BT"/>
          <w:b/>
          <w:color w:val="0070C0"/>
          <w:sz w:val="22"/>
          <w:szCs w:val="22"/>
          <w:bdr w:val="nil"/>
          <w:lang w:val="fr-CA" w:eastAsia="fr-CA" w:bidi="fr-CA"/>
        </w:rPr>
      </w:pPr>
      <w:r w:rsidRPr="00F05408">
        <w:rPr>
          <w:rFonts w:ascii="Humnst777 BT" w:hAnsi="Humnst777 BT"/>
          <w:b/>
          <w:color w:val="0070C0"/>
          <w:sz w:val="22"/>
          <w:szCs w:val="22"/>
          <w:bdr w:val="nil"/>
          <w:lang w:val="fr-CA" w:eastAsia="fr-CA" w:bidi="fr-CA"/>
        </w:rPr>
        <w:t xml:space="preserve">Ratio capitaux empruntés rajustés/BAIIA rajusté sous </w:t>
      </w:r>
      <w:r w:rsidRPr="00F05408">
        <w:rPr>
          <w:rFonts w:ascii="Humnst777 BT" w:hAnsi="Humnst777 BT"/>
          <w:b/>
          <w:color w:val="0070C0"/>
          <w:sz w:val="22"/>
          <w:szCs w:val="22"/>
          <w:bdr w:val="nil"/>
          <w:lang w:val="fr-CA" w:eastAsia="fr-CA" w:bidi="fr-CA"/>
        </w:rPr>
        <w:t>forme de multiple</w:t>
      </w:r>
    </w:p>
    <w:p w:rsidR="00F05408" w:rsidRDefault="00BC398A" w:rsidP="008201E7">
      <w:pPr>
        <w:pBdr>
          <w:top w:val="nil"/>
          <w:left w:val="nil"/>
          <w:bottom w:val="nil"/>
          <w:right w:val="nil"/>
          <w:between w:val="nil"/>
          <w:bar w:val="nil"/>
        </w:pBdr>
        <w:tabs>
          <w:tab w:val="left" w:pos="302"/>
        </w:tabs>
        <w:spacing w:line="260" w:lineRule="exact"/>
        <w:rPr>
          <w:rFonts w:ascii="Humnst777 BT" w:hAnsi="Humnst777 BT"/>
          <w:color w:val="000000"/>
          <w:sz w:val="17"/>
          <w:szCs w:val="20"/>
          <w:bdr w:val="nil"/>
          <w:lang w:val="fr-CA" w:eastAsia="fr-CA" w:bidi="fr-CA"/>
        </w:rPr>
      </w:pPr>
    </w:p>
    <w:p w:rsidR="00F13E97" w:rsidRDefault="00BC398A" w:rsidP="008201E7">
      <w:pPr>
        <w:pBdr>
          <w:top w:val="nil"/>
          <w:left w:val="nil"/>
          <w:bottom w:val="nil"/>
          <w:right w:val="nil"/>
          <w:between w:val="nil"/>
          <w:bar w:val="nil"/>
        </w:pBdr>
        <w:tabs>
          <w:tab w:val="left" w:pos="302"/>
        </w:tabs>
        <w:spacing w:line="260" w:lineRule="exact"/>
        <w:rPr>
          <w:rFonts w:ascii="Humnst777 BT" w:hAnsi="Humnst777 BT"/>
          <w:color w:val="000000"/>
          <w:sz w:val="17"/>
          <w:szCs w:val="20"/>
          <w:bdr w:val="nil"/>
          <w:lang w:val="fr-CA" w:eastAsia="fr-CA" w:bidi="fr-CA"/>
        </w:rPr>
      </w:pPr>
      <w:r w:rsidRPr="00F824B2">
        <w:rPr>
          <w:rFonts w:ascii="Humnst777 BT" w:hAnsi="Humnst777 BT"/>
          <w:color w:val="000000"/>
          <w:sz w:val="17"/>
          <w:szCs w:val="20"/>
          <w:bdr w:val="nil"/>
          <w:lang w:val="fr-CA" w:eastAsia="fr-CA" w:bidi="fr-CA"/>
        </w:rPr>
        <w:t>La direction</w:t>
      </w:r>
      <w:r>
        <w:rPr>
          <w:rFonts w:ascii="Humnst777 BT" w:hAnsi="Humnst777 BT"/>
          <w:color w:val="000000"/>
          <w:sz w:val="17"/>
          <w:szCs w:val="20"/>
          <w:bdr w:val="nil"/>
          <w:lang w:val="fr-CA" w:eastAsia="fr-CA" w:bidi="fr-CA"/>
        </w:rPr>
        <w:t xml:space="preserve"> </w:t>
      </w:r>
      <w:r w:rsidRPr="00F824B2">
        <w:rPr>
          <w:rFonts w:ascii="Humnst777 BT" w:hAnsi="Humnst777 BT"/>
          <w:color w:val="000000"/>
          <w:sz w:val="17"/>
          <w:szCs w:val="20"/>
          <w:bdr w:val="nil"/>
          <w:lang w:val="fr-CA" w:eastAsia="fr-CA" w:bidi="fr-CA"/>
        </w:rPr>
        <w:t xml:space="preserve">est d’avis que le ratio capitaux empruntés rajustés/bénéfice avant intérêts, impôts sur les bénéfices et amortissement (BAIIA) rajusté exprimé sous forme de multiple est </w:t>
      </w:r>
      <w:r>
        <w:rPr>
          <w:rFonts w:ascii="Humnst777 BT" w:hAnsi="Humnst777 BT"/>
          <w:color w:val="000000"/>
          <w:sz w:val="17"/>
          <w:szCs w:val="20"/>
          <w:bdr w:val="nil"/>
          <w:lang w:val="fr-CA" w:eastAsia="fr-CA" w:bidi="fr-CA"/>
        </w:rPr>
        <w:t>une</w:t>
      </w:r>
      <w:r w:rsidRPr="00F824B2">
        <w:rPr>
          <w:rFonts w:ascii="Humnst777 BT" w:hAnsi="Humnst777 BT"/>
          <w:color w:val="000000"/>
          <w:sz w:val="17"/>
          <w:szCs w:val="20"/>
          <w:bdr w:val="nil"/>
          <w:lang w:val="fr-CA" w:eastAsia="fr-CA" w:bidi="fr-CA"/>
        </w:rPr>
        <w:t xml:space="preserve"> mesure utile de la solvabilité parce qu’il reflète la capacité de la Compagnie à faire face à ses obligations du service de la dette</w:t>
      </w:r>
      <w:r>
        <w:rPr>
          <w:rFonts w:ascii="Humnst777 BT" w:hAnsi="Humnst777 BT"/>
          <w:color w:val="000000"/>
          <w:sz w:val="17"/>
          <w:szCs w:val="20"/>
          <w:bdr w:val="nil"/>
          <w:lang w:val="fr-CA" w:eastAsia="fr-CA" w:bidi="fr-CA"/>
        </w:rPr>
        <w:t xml:space="preserve"> et à d’autres obligations à long terme</w:t>
      </w:r>
      <w:r w:rsidRPr="00F824B2">
        <w:rPr>
          <w:rFonts w:ascii="Humnst777 BT" w:hAnsi="Humnst777 BT"/>
          <w:color w:val="000000"/>
          <w:sz w:val="17"/>
          <w:szCs w:val="20"/>
          <w:bdr w:val="nil"/>
          <w:lang w:val="fr-CA" w:eastAsia="fr-CA" w:bidi="fr-CA"/>
        </w:rPr>
        <w:t xml:space="preserve">. </w:t>
      </w:r>
      <w:r>
        <w:rPr>
          <w:rFonts w:ascii="Humnst777 BT" w:hAnsi="Humnst777 BT"/>
          <w:color w:val="000000"/>
          <w:sz w:val="17"/>
          <w:szCs w:val="20"/>
          <w:bdr w:val="nil"/>
          <w:lang w:val="fr-CA" w:eastAsia="fr-CA" w:bidi="fr-CA"/>
        </w:rPr>
        <w:t>La Compagnie c</w:t>
      </w:r>
      <w:r>
        <w:rPr>
          <w:rFonts w:ascii="Humnst777 BT" w:hAnsi="Humnst777 BT"/>
          <w:color w:val="000000"/>
          <w:sz w:val="17"/>
          <w:szCs w:val="20"/>
          <w:bdr w:val="nil"/>
          <w:lang w:val="fr-CA" w:eastAsia="fr-CA" w:bidi="fr-CA"/>
        </w:rPr>
        <w:t>alcule le ratio capitaux empruntés rajustés/BAIIA rajusté sous forme de multiple en divisant les capitaux empruntés rajustés par le BAIIA rajusté.</w:t>
      </w:r>
      <w:r w:rsidRPr="00F824B2">
        <w:rPr>
          <w:rFonts w:ascii="Humnst777 BT" w:hAnsi="Humnst777 BT"/>
          <w:color w:val="000000"/>
          <w:sz w:val="17"/>
          <w:szCs w:val="20"/>
          <w:bdr w:val="nil"/>
          <w:lang w:val="fr-CA" w:eastAsia="fr-CA" w:bidi="fr-CA"/>
        </w:rPr>
        <w:t xml:space="preserve"> Ce</w:t>
      </w:r>
      <w:r>
        <w:rPr>
          <w:rFonts w:ascii="Humnst777 BT" w:hAnsi="Humnst777 BT"/>
          <w:color w:val="000000"/>
          <w:sz w:val="17"/>
          <w:szCs w:val="20"/>
          <w:bdr w:val="nil"/>
          <w:lang w:val="fr-CA" w:eastAsia="fr-CA" w:bidi="fr-CA"/>
        </w:rPr>
        <w:t>s</w:t>
      </w:r>
      <w:r w:rsidRPr="00F824B2">
        <w:rPr>
          <w:rFonts w:ascii="Humnst777 BT" w:hAnsi="Humnst777 BT"/>
          <w:color w:val="000000"/>
          <w:sz w:val="17"/>
          <w:szCs w:val="20"/>
          <w:bdr w:val="nil"/>
          <w:lang w:val="fr-CA" w:eastAsia="fr-CA" w:bidi="fr-CA"/>
        </w:rPr>
        <w:t xml:space="preserve"> mesure</w:t>
      </w:r>
      <w:r>
        <w:rPr>
          <w:rFonts w:ascii="Humnst777 BT" w:hAnsi="Humnst777 BT"/>
          <w:color w:val="000000"/>
          <w:sz w:val="17"/>
          <w:szCs w:val="20"/>
          <w:bdr w:val="nil"/>
          <w:lang w:val="fr-CA" w:eastAsia="fr-CA" w:bidi="fr-CA"/>
        </w:rPr>
        <w:t>s</w:t>
      </w:r>
      <w:r w:rsidRPr="00F824B2">
        <w:rPr>
          <w:rFonts w:ascii="Humnst777 BT" w:hAnsi="Humnst777 BT"/>
          <w:color w:val="000000"/>
          <w:sz w:val="17"/>
          <w:szCs w:val="20"/>
          <w:bdr w:val="nil"/>
          <w:lang w:val="fr-CA" w:eastAsia="fr-CA" w:bidi="fr-CA"/>
        </w:rPr>
        <w:t xml:space="preserve"> ne</w:t>
      </w:r>
      <w:r>
        <w:rPr>
          <w:rFonts w:ascii="Humnst777 BT" w:hAnsi="Humnst777 BT"/>
          <w:color w:val="000000"/>
          <w:sz w:val="17"/>
          <w:szCs w:val="20"/>
          <w:bdr w:val="nil"/>
          <w:lang w:val="fr-CA" w:eastAsia="fr-CA" w:bidi="fr-CA"/>
        </w:rPr>
        <w:t xml:space="preserve"> </w:t>
      </w:r>
      <w:r w:rsidRPr="00F824B2">
        <w:rPr>
          <w:rFonts w:ascii="Humnst777 BT" w:hAnsi="Humnst777 BT"/>
          <w:color w:val="000000"/>
          <w:sz w:val="17"/>
          <w:szCs w:val="20"/>
          <w:bdr w:val="nil"/>
          <w:lang w:val="fr-CA" w:eastAsia="fr-CA" w:bidi="fr-CA"/>
        </w:rPr>
        <w:t>s</w:t>
      </w:r>
      <w:r>
        <w:rPr>
          <w:rFonts w:ascii="Humnst777 BT" w:hAnsi="Humnst777 BT"/>
          <w:color w:val="000000"/>
          <w:sz w:val="17"/>
          <w:szCs w:val="20"/>
          <w:bdr w:val="nil"/>
          <w:lang w:val="fr-CA" w:eastAsia="fr-CA" w:bidi="fr-CA"/>
        </w:rPr>
        <w:t>on</w:t>
      </w:r>
      <w:r w:rsidRPr="00F824B2">
        <w:rPr>
          <w:rFonts w:ascii="Humnst777 BT" w:hAnsi="Humnst777 BT"/>
          <w:color w:val="000000"/>
          <w:sz w:val="17"/>
          <w:szCs w:val="20"/>
          <w:bdr w:val="nil"/>
          <w:lang w:val="fr-CA" w:eastAsia="fr-CA" w:bidi="fr-CA"/>
        </w:rPr>
        <w:t>t pas définie</w:t>
      </w:r>
      <w:r>
        <w:rPr>
          <w:rFonts w:ascii="Humnst777 BT" w:hAnsi="Humnst777 BT"/>
          <w:color w:val="000000"/>
          <w:sz w:val="17"/>
          <w:szCs w:val="20"/>
          <w:bdr w:val="nil"/>
          <w:lang w:val="fr-CA" w:eastAsia="fr-CA" w:bidi="fr-CA"/>
        </w:rPr>
        <w:t>s</w:t>
      </w:r>
      <w:r w:rsidRPr="00F824B2">
        <w:rPr>
          <w:rFonts w:ascii="Humnst777 BT" w:hAnsi="Humnst777 BT"/>
          <w:color w:val="000000"/>
          <w:sz w:val="17"/>
          <w:szCs w:val="20"/>
          <w:bdr w:val="nil"/>
          <w:lang w:val="fr-CA" w:eastAsia="fr-CA" w:bidi="fr-CA"/>
        </w:rPr>
        <w:t xml:space="preserve"> de faç</w:t>
      </w:r>
      <w:r>
        <w:rPr>
          <w:rFonts w:ascii="Humnst777 BT" w:hAnsi="Humnst777 BT"/>
          <w:color w:val="000000"/>
          <w:sz w:val="17"/>
          <w:szCs w:val="20"/>
          <w:bdr w:val="nil"/>
          <w:lang w:val="fr-CA" w:eastAsia="fr-CA" w:bidi="fr-CA"/>
        </w:rPr>
        <w:t>on normalisée en vertu des PCGR</w:t>
      </w:r>
      <w:r w:rsidRPr="00F824B2">
        <w:rPr>
          <w:rFonts w:ascii="Humnst777 BT" w:hAnsi="Humnst777 BT"/>
          <w:color w:val="000000"/>
          <w:sz w:val="17"/>
          <w:szCs w:val="20"/>
          <w:bdr w:val="nil"/>
          <w:lang w:val="fr-CA" w:eastAsia="fr-CA" w:bidi="fr-CA"/>
        </w:rPr>
        <w:t xml:space="preserve"> </w:t>
      </w:r>
      <w:r>
        <w:rPr>
          <w:rFonts w:ascii="Humnst777 BT" w:hAnsi="Humnst777 BT"/>
          <w:color w:val="000000"/>
          <w:sz w:val="17"/>
          <w:szCs w:val="20"/>
          <w:bdr w:val="nil"/>
          <w:lang w:val="fr-CA" w:eastAsia="fr-CA" w:bidi="fr-CA"/>
        </w:rPr>
        <w:t>et peuvent, par conséquent, ne pas être</w:t>
      </w:r>
      <w:r w:rsidRPr="00F824B2">
        <w:rPr>
          <w:rFonts w:ascii="Humnst777 BT" w:hAnsi="Humnst777 BT"/>
          <w:color w:val="000000"/>
          <w:sz w:val="17"/>
          <w:szCs w:val="20"/>
          <w:bdr w:val="nil"/>
          <w:lang w:val="fr-CA" w:eastAsia="fr-CA" w:bidi="fr-CA"/>
        </w:rPr>
        <w:t xml:space="preserve"> comparable</w:t>
      </w:r>
      <w:r>
        <w:rPr>
          <w:rFonts w:ascii="Humnst777 BT" w:hAnsi="Humnst777 BT"/>
          <w:color w:val="000000"/>
          <w:sz w:val="17"/>
          <w:szCs w:val="20"/>
          <w:bdr w:val="nil"/>
          <w:lang w:val="fr-CA" w:eastAsia="fr-CA" w:bidi="fr-CA"/>
        </w:rPr>
        <w:t>s</w:t>
      </w:r>
      <w:r w:rsidRPr="00F824B2">
        <w:rPr>
          <w:rFonts w:ascii="Humnst777 BT" w:hAnsi="Humnst777 BT"/>
          <w:color w:val="000000"/>
          <w:sz w:val="17"/>
          <w:szCs w:val="20"/>
          <w:bdr w:val="nil"/>
          <w:lang w:val="fr-CA" w:eastAsia="fr-CA" w:bidi="fr-CA"/>
        </w:rPr>
        <w:t xml:space="preserve"> aux mesures semblables présentées par d’autres sociétés.</w:t>
      </w:r>
    </w:p>
    <w:p w:rsidR="00023A9B" w:rsidRPr="00F824B2" w:rsidRDefault="00BC398A" w:rsidP="008201E7">
      <w:pPr>
        <w:pBdr>
          <w:top w:val="nil"/>
          <w:left w:val="nil"/>
          <w:bottom w:val="nil"/>
          <w:right w:val="nil"/>
          <w:between w:val="nil"/>
          <w:bar w:val="nil"/>
        </w:pBdr>
        <w:tabs>
          <w:tab w:val="left" w:pos="302"/>
        </w:tabs>
        <w:spacing w:line="260" w:lineRule="exact"/>
        <w:rPr>
          <w:rFonts w:ascii="Humnst777 BT" w:hAnsi="Humnst777 BT"/>
          <w:color w:val="000000"/>
          <w:sz w:val="17"/>
          <w:szCs w:val="20"/>
          <w:bdr w:val="nil"/>
          <w:lang w:val="fr-CA" w:eastAsia="fr-CA" w:bidi="fr-CA"/>
        </w:rPr>
      </w:pPr>
      <w:r>
        <w:rPr>
          <w:rFonts w:ascii="Humnst777 BT" w:hAnsi="Humnst777 BT"/>
          <w:color w:val="000000"/>
          <w:sz w:val="17"/>
          <w:szCs w:val="20"/>
          <w:bdr w:val="nil"/>
          <w:lang w:val="fr-CA" w:eastAsia="fr-CA" w:bidi="fr-CA"/>
        </w:rPr>
        <w:tab/>
        <w:t>Le tableau ci-après</w:t>
      </w:r>
      <w:r w:rsidRPr="00023A9B">
        <w:rPr>
          <w:rFonts w:ascii="Humnst777 BT" w:hAnsi="Humnst777 BT"/>
          <w:color w:val="000000"/>
          <w:sz w:val="17"/>
          <w:szCs w:val="20"/>
          <w:bdr w:val="nil"/>
          <w:lang w:val="fr-CA" w:eastAsia="fr-CA" w:bidi="fr-CA"/>
        </w:rPr>
        <w:t xml:space="preserve"> fait le rapprochement </w:t>
      </w:r>
      <w:r>
        <w:rPr>
          <w:rFonts w:ascii="Humnst777 BT" w:hAnsi="Humnst777 BT"/>
          <w:color w:val="000000"/>
          <w:sz w:val="17"/>
          <w:szCs w:val="20"/>
          <w:bdr w:val="nil"/>
          <w:lang w:val="fr-CA" w:eastAsia="fr-CA" w:bidi="fr-CA"/>
        </w:rPr>
        <w:t xml:space="preserve">des capitaux empruntés et </w:t>
      </w:r>
      <w:r w:rsidRPr="00023A9B">
        <w:rPr>
          <w:rFonts w:ascii="Humnst777 BT" w:hAnsi="Humnst777 BT"/>
          <w:color w:val="000000"/>
          <w:sz w:val="17"/>
          <w:szCs w:val="20"/>
          <w:bdr w:val="nil"/>
          <w:lang w:val="fr-CA" w:eastAsia="fr-CA" w:bidi="fr-CA"/>
        </w:rPr>
        <w:t>du bénéfice net</w:t>
      </w:r>
      <w:r>
        <w:rPr>
          <w:rFonts w:ascii="Humnst777 BT" w:hAnsi="Humnst777 BT"/>
          <w:color w:val="000000"/>
          <w:sz w:val="17"/>
          <w:szCs w:val="20"/>
          <w:bdr w:val="nil"/>
          <w:lang w:val="fr-CA" w:eastAsia="fr-CA" w:bidi="fr-CA"/>
        </w:rPr>
        <w:t xml:space="preserve"> et des mesures </w:t>
      </w:r>
      <w:r w:rsidRPr="00023A9B">
        <w:rPr>
          <w:rFonts w:ascii="Humnst777 BT" w:hAnsi="Humnst777 BT"/>
          <w:color w:val="000000"/>
          <w:sz w:val="17"/>
          <w:szCs w:val="20"/>
          <w:bdr w:val="nil"/>
          <w:lang w:val="fr-CA" w:eastAsia="fr-CA" w:bidi="fr-CA"/>
        </w:rPr>
        <w:t>rajustées indiqu</w:t>
      </w:r>
      <w:r w:rsidRPr="00023A9B">
        <w:rPr>
          <w:rFonts w:ascii="Humnst777 BT" w:hAnsi="Humnst777 BT"/>
          <w:color w:val="000000"/>
          <w:sz w:val="17"/>
          <w:szCs w:val="20"/>
          <w:bdr w:val="nil"/>
          <w:lang w:val="fr-CA" w:eastAsia="fr-CA" w:bidi="fr-CA"/>
        </w:rPr>
        <w:t>ées</w:t>
      </w:r>
      <w:r>
        <w:rPr>
          <w:rFonts w:ascii="Humnst777 BT" w:hAnsi="Humnst777 BT"/>
          <w:color w:val="000000"/>
          <w:sz w:val="17"/>
          <w:szCs w:val="20"/>
          <w:bdr w:val="nil"/>
          <w:lang w:val="fr-CA" w:eastAsia="fr-CA" w:bidi="fr-CA"/>
        </w:rPr>
        <w:t xml:space="preserve"> ci-dessous, qui ont été utilisées pour calculer le ratio capitaux empruntés rajustés/BAIIA rajusté sous forme de multiple :</w:t>
      </w:r>
      <w:r w:rsidRPr="00023A9B">
        <w:rPr>
          <w:rFonts w:ascii="Humnst777 BT" w:hAnsi="Humnst777 BT"/>
          <w:color w:val="000000"/>
          <w:sz w:val="17"/>
          <w:szCs w:val="20"/>
          <w:bdr w:val="nil"/>
          <w:lang w:val="fr-CA" w:eastAsia="fr-CA" w:bidi="fr-CA"/>
        </w:rPr>
        <w:t xml:space="preserve"> </w:t>
      </w:r>
    </w:p>
    <w:p w:rsidR="00A40E1E" w:rsidRPr="00BC398A" w:rsidRDefault="00A40E1E">
      <w:pPr>
        <w:spacing w:line="260" w:lineRule="exact"/>
        <w:rPr>
          <w:rFonts w:ascii="Humnst777 BT" w:eastAsia="Humnst777 BT" w:hAnsi="Humnst777 BT" w:cs="Humnst777 BT"/>
          <w:sz w:val="17"/>
          <w:lang w:val="fr-CA"/>
        </w:rPr>
      </w:pPr>
    </w:p>
    <w:tbl>
      <w:tblPr>
        <w:tblStyle w:val="CDMRange1"/>
        <w:tblW w:w="10800" w:type="dxa"/>
        <w:tblLook w:val="0600" w:firstRow="0" w:lastRow="0" w:firstColumn="0" w:lastColumn="0" w:noHBand="1" w:noVBand="1"/>
      </w:tblPr>
      <w:tblGrid>
        <w:gridCol w:w="301"/>
        <w:gridCol w:w="3436"/>
        <w:gridCol w:w="1381"/>
        <w:gridCol w:w="3016"/>
        <w:gridCol w:w="1096"/>
        <w:gridCol w:w="301"/>
        <w:gridCol w:w="1096"/>
        <w:gridCol w:w="301"/>
      </w:tblGrid>
      <w:tr w:rsidR="00A40E1E">
        <w:trPr>
          <w:cantSplit/>
          <w:trHeight w:val="405"/>
        </w:trPr>
        <w:tc>
          <w:tcPr>
            <w:tcW w:w="3705" w:type="dxa"/>
            <w:gridSpan w:val="2"/>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lastRenderedPageBreak/>
              <w:t>En millions, à moins d’indication contraire</w:t>
            </w:r>
          </w:p>
        </w:tc>
        <w:tc>
          <w:tcPr>
            <w:tcW w:w="4365"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jc w:val="righ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Au 31 mars et pour les douze mois terminés le 31 mars</w:t>
            </w:r>
          </w:p>
        </w:tc>
        <w:tc>
          <w:tcPr>
            <w:tcW w:w="108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2018</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b/>
                <w:color w:val="000000"/>
                <w:sz w:val="16"/>
              </w:rPr>
            </w:pPr>
          </w:p>
        </w:tc>
        <w:tc>
          <w:tcPr>
            <w:tcW w:w="108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2017</w:t>
            </w:r>
          </w:p>
        </w:tc>
        <w:tc>
          <w:tcPr>
            <w:tcW w:w="285" w:type="dxa"/>
            <w:tcBorders>
              <w:top w:val="nil"/>
              <w:left w:val="nil"/>
              <w:bottom w:val="single" w:sz="4" w:space="0" w:color="000000"/>
              <w:right w:val="nil"/>
              <w:tl2br w:val="nil"/>
              <w:tr2bl w:val="nil"/>
            </w:tcBorders>
            <w:shd w:val="clear" w:color="auto" w:fill="auto"/>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705"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Capitaux empruntés</w:t>
            </w:r>
          </w:p>
        </w:tc>
        <w:tc>
          <w:tcPr>
            <w:tcW w:w="13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30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1080" w:type="dxa"/>
            <w:tcBorders>
              <w:top w:val="single" w:sz="4" w:space="0" w:color="000000"/>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11 912</w:t>
            </w:r>
          </w:p>
        </w:tc>
        <w:tc>
          <w:tcPr>
            <w:tcW w:w="285" w:type="dxa"/>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080" w:type="dxa"/>
            <w:tcBorders>
              <w:top w:val="single" w:sz="4" w:space="0" w:color="000000"/>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10 924</w:t>
            </w:r>
          </w:p>
        </w:tc>
        <w:tc>
          <w:tcPr>
            <w:tcW w:w="285" w:type="dxa"/>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705"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 xml:space="preserve">Rajustements : </w:t>
            </w:r>
          </w:p>
        </w:tc>
        <w:tc>
          <w:tcPr>
            <w:tcW w:w="136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300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b/>
                <w:color w:val="000000"/>
                <w:sz w:val="16"/>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8070" w:type="dxa"/>
            <w:gridSpan w:val="4"/>
            <w:vMerge w:val="restart"/>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Valeur actuelle des engagements en vertu de contrats de location-exploitation</w:t>
            </w:r>
            <w:r w:rsidRPr="00BC398A">
              <w:rPr>
                <w:rFonts w:ascii="Humnst777 BT" w:eastAsia="Humnst777 BT" w:hAnsi="Humnst777 BT" w:cs="Humnst777 BT"/>
                <w:color w:val="000000"/>
                <w:sz w:val="16"/>
                <w:vertAlign w:val="superscript"/>
                <w:lang w:val="fr-CA"/>
              </w:rPr>
              <w:t xml:space="preserve"> 1)</w:t>
            </w:r>
          </w:p>
        </w:tc>
        <w:tc>
          <w:tcPr>
            <w:tcW w:w="108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473</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516</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8070" w:type="dxa"/>
            <w:gridSpan w:val="4"/>
            <w:vMerge w:val="restart"/>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Régimes de retraite en déficit</w:t>
            </w:r>
          </w:p>
        </w:tc>
        <w:tc>
          <w:tcPr>
            <w:tcW w:w="108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456</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440</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705" w:type="dxa"/>
            <w:gridSpan w:val="2"/>
            <w:vMerge w:val="restart"/>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 xml:space="preserve">Capitaux empruntés rajustés </w:t>
            </w:r>
            <w:r>
              <w:rPr>
                <w:rFonts w:ascii="Humnst777 BT" w:eastAsia="Humnst777 BT" w:hAnsi="Humnst777 BT" w:cs="Humnst777 BT"/>
                <w:color w:val="000000"/>
                <w:sz w:val="16"/>
                <w:vertAlign w:val="superscript"/>
              </w:rPr>
              <w:t>2)</w:t>
            </w:r>
          </w:p>
        </w:tc>
        <w:tc>
          <w:tcPr>
            <w:tcW w:w="136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30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1080"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12 841</w:t>
            </w:r>
          </w:p>
        </w:tc>
        <w:tc>
          <w:tcPr>
            <w:tcW w:w="285"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11 880</w:t>
            </w:r>
          </w:p>
        </w:tc>
        <w:tc>
          <w:tcPr>
            <w:tcW w:w="285"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0"/>
        </w:trPr>
        <w:tc>
          <w:tcPr>
            <w:tcW w:w="3705" w:type="dxa"/>
            <w:gridSpan w:val="2"/>
            <w:vMerge w:val="restart"/>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Bénéfice net</w:t>
            </w:r>
          </w:p>
        </w:tc>
        <w:tc>
          <w:tcPr>
            <w:tcW w:w="13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30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4"/>
              </w:rPr>
            </w:pPr>
          </w:p>
        </w:tc>
        <w:tc>
          <w:tcPr>
            <w:tcW w:w="1080" w:type="dxa"/>
            <w:tcBorders>
              <w:top w:val="single" w:sz="4" w:space="0" w:color="000000"/>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5 341</w:t>
            </w:r>
          </w:p>
        </w:tc>
        <w:tc>
          <w:tcPr>
            <w:tcW w:w="285" w:type="dxa"/>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080" w:type="dxa"/>
            <w:tcBorders>
              <w:top w:val="single" w:sz="4" w:space="0" w:color="000000"/>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3 732</w:t>
            </w:r>
          </w:p>
        </w:tc>
        <w:tc>
          <w:tcPr>
            <w:tcW w:w="285" w:type="dxa"/>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705" w:type="dxa"/>
            <w:gridSpan w:val="2"/>
            <w:vMerge w:val="restart"/>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Intérêts débiteurs</w:t>
            </w:r>
          </w:p>
        </w:tc>
        <w:tc>
          <w:tcPr>
            <w:tcW w:w="136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300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4"/>
              </w:rPr>
            </w:pPr>
          </w:p>
        </w:tc>
        <w:tc>
          <w:tcPr>
            <w:tcW w:w="1080" w:type="dxa"/>
            <w:tcBorders>
              <w:top w:val="nil"/>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481</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479</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705"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Charge (recouvrement) d’impôts sur les bénéfices</w:t>
            </w:r>
          </w:p>
        </w:tc>
        <w:tc>
          <w:tcPr>
            <w:tcW w:w="1365"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3000"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4"/>
                <w:lang w:val="fr-CA"/>
              </w:rPr>
            </w:pPr>
          </w:p>
        </w:tc>
        <w:tc>
          <w:tcPr>
            <w:tcW w:w="108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(444)</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1 279</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705"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Amortissement</w:t>
            </w:r>
          </w:p>
        </w:tc>
        <w:tc>
          <w:tcPr>
            <w:tcW w:w="13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30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4"/>
              </w:rPr>
            </w:pPr>
          </w:p>
        </w:tc>
        <w:tc>
          <w:tcPr>
            <w:tcW w:w="108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1 281</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1 241</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705" w:type="dxa"/>
            <w:gridSpan w:val="2"/>
            <w:tcBorders>
              <w:top w:val="single" w:sz="4" w:space="0" w:color="000000"/>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BAIIA</w:t>
            </w:r>
          </w:p>
        </w:tc>
        <w:tc>
          <w:tcPr>
            <w:tcW w:w="13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30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4"/>
              </w:rPr>
            </w:pPr>
          </w:p>
        </w:tc>
        <w:tc>
          <w:tcPr>
            <w:tcW w:w="1080" w:type="dxa"/>
            <w:tcBorders>
              <w:top w:val="single" w:sz="4" w:space="0" w:color="000000"/>
              <w:left w:val="nil"/>
              <w:bottom w:val="nil"/>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6 659</w:t>
            </w:r>
          </w:p>
        </w:tc>
        <w:tc>
          <w:tcPr>
            <w:tcW w:w="28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single" w:sz="4" w:space="0" w:color="000000"/>
              <w:left w:val="nil"/>
              <w:bottom w:val="nil"/>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6 731</w:t>
            </w:r>
          </w:p>
        </w:tc>
        <w:tc>
          <w:tcPr>
            <w:tcW w:w="28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3705"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 xml:space="preserve">Rajustements : </w:t>
            </w:r>
          </w:p>
        </w:tc>
        <w:tc>
          <w:tcPr>
            <w:tcW w:w="136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300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342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Autres produits</w:t>
            </w:r>
          </w:p>
        </w:tc>
        <w:tc>
          <w:tcPr>
            <w:tcW w:w="136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3000"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108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(16)</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(92)</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4785" w:type="dxa"/>
            <w:gridSpan w:val="2"/>
            <w:tcBorders>
              <w:top w:val="nil"/>
              <w:left w:val="nil"/>
              <w:bottom w:val="nil"/>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Autres éléments du produit net des prestations</w:t>
            </w:r>
          </w:p>
        </w:tc>
        <w:tc>
          <w:tcPr>
            <w:tcW w:w="3000" w:type="dxa"/>
            <w:tcBorders>
              <w:top w:val="nil"/>
              <w:left w:val="nil"/>
              <w:bottom w:val="nil"/>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108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(313)</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nil"/>
              <w:right w:val="nil"/>
              <w:tl2br w:val="nil"/>
              <w:tr2bl w:val="nil"/>
            </w:tcBorders>
            <w:shd w:val="clear" w:color="auto" w:fill="auto"/>
            <w:noWrap/>
            <w:tcMar>
              <w:left w:w="29" w:type="dxa"/>
              <w:right w:w="29"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(292)</w:t>
            </w:r>
          </w:p>
        </w:tc>
        <w:tc>
          <w:tcPr>
            <w:tcW w:w="285" w:type="dxa"/>
            <w:tcBorders>
              <w:top w:val="nil"/>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4785" w:type="dxa"/>
            <w:gridSpan w:val="2"/>
            <w:tcBorders>
              <w:top w:val="nil"/>
              <w:left w:val="nil"/>
              <w:bottom w:val="single" w:sz="4"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Charge au titre des contrats de location-exploitation</w:t>
            </w:r>
          </w:p>
        </w:tc>
        <w:tc>
          <w:tcPr>
            <w:tcW w:w="30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Pr="00BC398A" w:rsidRDefault="00A40E1E">
            <w:pPr>
              <w:keepNext/>
              <w:rPr>
                <w:rFonts w:ascii="Humnst777 BT" w:eastAsia="Humnst777 BT" w:hAnsi="Humnst777 BT" w:cs="Humnst777 BT"/>
                <w:color w:val="000000"/>
                <w:sz w:val="16"/>
                <w:lang w:val="fr-CA"/>
              </w:rPr>
            </w:pPr>
          </w:p>
        </w:tc>
        <w:tc>
          <w:tcPr>
            <w:tcW w:w="1080" w:type="dxa"/>
            <w:tcBorders>
              <w:top w:val="nil"/>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193</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nil"/>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191</w:t>
            </w:r>
          </w:p>
        </w:tc>
        <w:tc>
          <w:tcPr>
            <w:tcW w:w="28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3705" w:type="dxa"/>
            <w:gridSpan w:val="2"/>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i/>
                <w:color w:val="000000"/>
                <w:sz w:val="16"/>
              </w:rPr>
            </w:pPr>
            <w:r>
              <w:rPr>
                <w:rFonts w:ascii="Humnst777 BT" w:eastAsia="Humnst777 BT" w:hAnsi="Humnst777 BT" w:cs="Humnst777 BT"/>
                <w:i/>
                <w:color w:val="000000"/>
                <w:sz w:val="16"/>
              </w:rPr>
              <w:t xml:space="preserve">BAIIA rajusté </w:t>
            </w:r>
            <w:r>
              <w:rPr>
                <w:rFonts w:ascii="Humnst777 BT" w:eastAsia="Humnst777 BT" w:hAnsi="Humnst777 BT" w:cs="Humnst777 BT"/>
                <w:color w:val="000000"/>
                <w:sz w:val="16"/>
                <w:vertAlign w:val="superscript"/>
              </w:rPr>
              <w:t>2)</w:t>
            </w:r>
          </w:p>
        </w:tc>
        <w:tc>
          <w:tcPr>
            <w:tcW w:w="136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30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1080" w:type="dxa"/>
            <w:tcBorders>
              <w:top w:val="single" w:sz="4" w:space="0" w:color="000000"/>
              <w:left w:val="nil"/>
              <w:bottom w:val="single" w:sz="4"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6 523</w:t>
            </w:r>
          </w:p>
        </w:tc>
        <w:tc>
          <w:tcPr>
            <w:tcW w:w="285"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b/>
                <w:color w:val="000000"/>
                <w:sz w:val="16"/>
              </w:rPr>
            </w:pPr>
            <w:r>
              <w:rPr>
                <w:rFonts w:ascii="Humnst777 BT" w:eastAsia="Humnst777 BT" w:hAnsi="Humnst777 BT" w:cs="Humnst777 BT"/>
                <w:b/>
                <w:color w:val="000000"/>
                <w:sz w:val="16"/>
              </w:rPr>
              <w:t>$</w:t>
            </w:r>
          </w:p>
        </w:tc>
        <w:tc>
          <w:tcPr>
            <w:tcW w:w="1080" w:type="dxa"/>
            <w:tcBorders>
              <w:top w:val="single" w:sz="4" w:space="0" w:color="000000"/>
              <w:left w:val="nil"/>
              <w:bottom w:val="single" w:sz="4"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6 538</w:t>
            </w:r>
          </w:p>
        </w:tc>
        <w:tc>
          <w:tcPr>
            <w:tcW w:w="285" w:type="dxa"/>
            <w:tcBorders>
              <w:top w:val="single" w:sz="4" w:space="0" w:color="000000"/>
              <w:left w:val="nil"/>
              <w:bottom w:val="single" w:sz="4" w:space="0" w:color="000000"/>
              <w:right w:val="nil"/>
              <w:tl2br w:val="nil"/>
              <w:tr2bl w:val="nil"/>
            </w:tcBorders>
            <w:shd w:val="clear" w:color="auto" w:fill="auto"/>
            <w:noWrap/>
            <w:tcMar>
              <w:left w:w="29" w:type="dxa"/>
              <w:right w:w="29" w:type="dxa"/>
            </w:tcMar>
            <w:vAlign w:val="bottom"/>
          </w:tcPr>
          <w:p w:rsidR="00A40E1E" w:rsidRDefault="00BC398A">
            <w:pPr>
              <w:keepNext/>
              <w:rPr>
                <w:rFonts w:ascii="Humnst777 BT" w:eastAsia="Humnst777 BT" w:hAnsi="Humnst777 BT" w:cs="Humnst777 BT"/>
                <w:color w:val="000000"/>
                <w:sz w:val="16"/>
              </w:rPr>
            </w:pPr>
            <w:r>
              <w:rPr>
                <w:rFonts w:ascii="Humnst777 BT" w:eastAsia="Humnst777 BT" w:hAnsi="Humnst777 BT" w:cs="Humnst777 BT"/>
                <w:color w:val="000000"/>
                <w:sz w:val="16"/>
              </w:rPr>
              <w:t>$</w:t>
            </w: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8070" w:type="dxa"/>
            <w:gridSpan w:val="4"/>
            <w:tcBorders>
              <w:top w:val="single" w:sz="4" w:space="0" w:color="000000"/>
              <w:left w:val="nil"/>
              <w:bottom w:val="single" w:sz="12" w:space="0" w:color="000000"/>
              <w:right w:val="nil"/>
              <w:tl2br w:val="nil"/>
              <w:tr2bl w:val="nil"/>
            </w:tcBorders>
            <w:shd w:val="clear" w:color="auto" w:fill="auto"/>
            <w:noWrap/>
            <w:tcMar>
              <w:left w:w="29" w:type="dxa"/>
              <w:right w:w="29" w:type="dxa"/>
            </w:tcMar>
            <w:vAlign w:val="bottom"/>
          </w:tcPr>
          <w:p w:rsidR="00A40E1E" w:rsidRPr="00BC398A" w:rsidRDefault="00BC398A">
            <w:pPr>
              <w:keepNext/>
              <w:rPr>
                <w:rFonts w:ascii="Humnst777 BT" w:eastAsia="Humnst777 BT" w:hAnsi="Humnst777 BT" w:cs="Humnst777 BT"/>
                <w:color w:val="000000"/>
                <w:sz w:val="16"/>
                <w:lang w:val="fr-CA"/>
              </w:rPr>
            </w:pPr>
            <w:r w:rsidRPr="00BC398A">
              <w:rPr>
                <w:rFonts w:ascii="Humnst777 BT" w:eastAsia="Humnst777 BT" w:hAnsi="Humnst777 BT" w:cs="Humnst777 BT"/>
                <w:color w:val="000000"/>
                <w:sz w:val="16"/>
                <w:lang w:val="fr-CA"/>
              </w:rPr>
              <w:t xml:space="preserve">Ratio capitaux empruntés rajustés/BAIIA rajusté sous forme de multiple </w:t>
            </w:r>
            <w:r w:rsidRPr="00BC398A">
              <w:rPr>
                <w:rFonts w:ascii="Humnst777 BT" w:eastAsia="Humnst777 BT" w:hAnsi="Humnst777 BT" w:cs="Humnst777 BT"/>
                <w:i/>
                <w:color w:val="000000"/>
                <w:sz w:val="16"/>
                <w:lang w:val="fr-CA"/>
              </w:rPr>
              <w:t>(fois)</w:t>
            </w:r>
          </w:p>
        </w:tc>
        <w:tc>
          <w:tcPr>
            <w:tcW w:w="1080" w:type="dxa"/>
            <w:tcBorders>
              <w:top w:val="single" w:sz="4" w:space="0" w:color="000000"/>
              <w:left w:val="nil"/>
              <w:bottom w:val="single" w:sz="12" w:space="0" w:color="000000"/>
              <w:right w:val="nil"/>
              <w:tl2br w:val="nil"/>
              <w:tr2bl w:val="nil"/>
            </w:tcBorders>
            <w:shd w:val="clear" w:color="auto" w:fill="auto"/>
            <w:noWrap/>
            <w:tcMar>
              <w:left w:w="29" w:type="dxa"/>
              <w:right w:w="89" w:type="dxa"/>
            </w:tcMar>
            <w:vAlign w:val="bottom"/>
          </w:tcPr>
          <w:p w:rsidR="00A40E1E" w:rsidRDefault="00BC398A">
            <w:pPr>
              <w:keepNext/>
              <w:jc w:val="right"/>
              <w:rPr>
                <w:rFonts w:ascii="Humnst777 BT" w:eastAsia="Humnst777 BT" w:hAnsi="Humnst777 BT" w:cs="Humnst777 BT"/>
                <w:b/>
                <w:color w:val="000000"/>
                <w:sz w:val="16"/>
              </w:rPr>
            </w:pPr>
            <w:r>
              <w:rPr>
                <w:rFonts w:ascii="Humnst777 BT" w:eastAsia="Humnst777 BT" w:hAnsi="Humnst777 BT" w:cs="Humnst777 BT"/>
                <w:b/>
                <w:color w:val="000000"/>
                <w:sz w:val="16"/>
              </w:rPr>
              <w:t>1,97</w:t>
            </w:r>
          </w:p>
        </w:tc>
        <w:tc>
          <w:tcPr>
            <w:tcW w:w="285" w:type="dxa"/>
            <w:tcBorders>
              <w:top w:val="single" w:sz="4" w:space="0" w:color="000000"/>
              <w:left w:val="nil"/>
              <w:bottom w:val="single" w:sz="12"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b/>
                <w:color w:val="000000"/>
                <w:sz w:val="16"/>
              </w:rPr>
            </w:pPr>
          </w:p>
        </w:tc>
        <w:tc>
          <w:tcPr>
            <w:tcW w:w="1080" w:type="dxa"/>
            <w:tcBorders>
              <w:top w:val="single" w:sz="4" w:space="0" w:color="000000"/>
              <w:left w:val="nil"/>
              <w:bottom w:val="single" w:sz="12" w:space="0" w:color="000000"/>
              <w:right w:val="nil"/>
              <w:tl2br w:val="nil"/>
              <w:tr2bl w:val="nil"/>
            </w:tcBorders>
            <w:shd w:val="clear" w:color="auto" w:fill="auto"/>
            <w:noWrap/>
            <w:tcMar>
              <w:left w:w="29" w:type="dxa"/>
              <w:right w:w="74" w:type="dxa"/>
            </w:tcMar>
            <w:vAlign w:val="bottom"/>
          </w:tcPr>
          <w:p w:rsidR="00A40E1E" w:rsidRDefault="00BC398A">
            <w:pPr>
              <w:keepNext/>
              <w:jc w:val="right"/>
              <w:rPr>
                <w:rFonts w:ascii="Humnst777 BT" w:eastAsia="Humnst777 BT" w:hAnsi="Humnst777 BT" w:cs="Humnst777 BT"/>
                <w:color w:val="000000"/>
                <w:sz w:val="16"/>
              </w:rPr>
            </w:pPr>
            <w:r>
              <w:rPr>
                <w:rFonts w:ascii="Humnst777 BT" w:eastAsia="Humnst777 BT" w:hAnsi="Humnst777 BT" w:cs="Humnst777 BT"/>
                <w:color w:val="000000"/>
                <w:sz w:val="16"/>
              </w:rPr>
              <w:t>1,82</w:t>
            </w:r>
          </w:p>
        </w:tc>
        <w:tc>
          <w:tcPr>
            <w:tcW w:w="285" w:type="dxa"/>
            <w:tcBorders>
              <w:top w:val="single" w:sz="4" w:space="0" w:color="000000"/>
              <w:left w:val="nil"/>
              <w:bottom w:val="single" w:sz="12" w:space="0" w:color="000000"/>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r>
      <w:tr w:rsidR="00A40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0"/>
        </w:trPr>
        <w:tc>
          <w:tcPr>
            <w:tcW w:w="28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4"/>
              </w:rPr>
            </w:pPr>
          </w:p>
        </w:tc>
        <w:tc>
          <w:tcPr>
            <w:tcW w:w="342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136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i/>
                <w:color w:val="000000"/>
                <w:sz w:val="16"/>
              </w:rPr>
            </w:pPr>
          </w:p>
        </w:tc>
        <w:tc>
          <w:tcPr>
            <w:tcW w:w="300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rPr>
                <w:rFonts w:ascii="Humnst777 BT" w:eastAsia="Humnst777 BT" w:hAnsi="Humnst777 BT" w:cs="Humnst777 BT"/>
                <w:color w:val="000000"/>
                <w:sz w:val="16"/>
              </w:rPr>
            </w:pPr>
          </w:p>
        </w:tc>
        <w:tc>
          <w:tcPr>
            <w:tcW w:w="108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b/>
                <w:color w:val="000000"/>
                <w:sz w:val="16"/>
              </w:rPr>
            </w:pPr>
          </w:p>
        </w:tc>
        <w:tc>
          <w:tcPr>
            <w:tcW w:w="28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b/>
                <w:color w:val="000000"/>
                <w:sz w:val="16"/>
              </w:rPr>
            </w:pPr>
          </w:p>
        </w:tc>
        <w:tc>
          <w:tcPr>
            <w:tcW w:w="1080"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c>
          <w:tcPr>
            <w:tcW w:w="285" w:type="dxa"/>
            <w:tcBorders>
              <w:top w:val="single" w:sz="12" w:space="0" w:color="000000"/>
              <w:left w:val="nil"/>
              <w:bottom w:val="nil"/>
              <w:right w:val="nil"/>
              <w:tl2br w:val="nil"/>
              <w:tr2bl w:val="nil"/>
            </w:tcBorders>
            <w:shd w:val="clear" w:color="auto" w:fill="auto"/>
            <w:noWrap/>
            <w:tcMar>
              <w:left w:w="0" w:type="dxa"/>
              <w:right w:w="0" w:type="dxa"/>
            </w:tcMar>
            <w:vAlign w:val="bottom"/>
          </w:tcPr>
          <w:p w:rsidR="00A40E1E" w:rsidRDefault="00A40E1E">
            <w:pPr>
              <w:keepNext/>
              <w:jc w:val="right"/>
              <w:rPr>
                <w:rFonts w:ascii="Humnst777 BT" w:eastAsia="Humnst777 BT" w:hAnsi="Humnst777 BT" w:cs="Humnst777 BT"/>
                <w:color w:val="000000"/>
                <w:sz w:val="16"/>
              </w:rPr>
            </w:pP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285" w:type="dxa"/>
            <w:tcBorders>
              <w:top w:val="nil"/>
              <w:left w:val="nil"/>
              <w:bottom w:val="nil"/>
              <w:right w:val="nil"/>
              <w:tl2br w:val="nil"/>
              <w:tr2bl w:val="nil"/>
            </w:tcBorders>
            <w:shd w:val="clear" w:color="auto" w:fill="auto"/>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1)</w:t>
            </w:r>
          </w:p>
        </w:tc>
        <w:tc>
          <w:tcPr>
            <w:tcW w:w="10515" w:type="dxa"/>
            <w:gridSpan w:val="7"/>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 xml:space="preserve">Les engagements en vertu de </w:t>
            </w:r>
            <w:r w:rsidRPr="00BC398A">
              <w:rPr>
                <w:rFonts w:ascii="Humnst777 BT" w:eastAsia="Humnst777 BT" w:hAnsi="Humnst777 BT" w:cs="Humnst777 BT"/>
                <w:i/>
                <w:color w:val="000000"/>
                <w:sz w:val="14"/>
                <w:lang w:val="fr-CA"/>
              </w:rPr>
              <w:t>contrats de location-exploitation ont été actualisés à l’aide du taux d’intérêt implicite de la Compagnie pour chaque période présentée.</w:t>
            </w:r>
          </w:p>
        </w:tc>
      </w:tr>
      <w:tr w:rsidR="00A40E1E" w:rsidRPr="00BC39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285" w:type="dxa"/>
            <w:tcBorders>
              <w:top w:val="nil"/>
              <w:left w:val="nil"/>
              <w:bottom w:val="nil"/>
              <w:right w:val="nil"/>
              <w:tl2br w:val="nil"/>
              <w:tr2bl w:val="nil"/>
            </w:tcBorders>
            <w:shd w:val="clear" w:color="auto" w:fill="auto"/>
            <w:tcMar>
              <w:left w:w="29" w:type="dxa"/>
              <w:right w:w="29" w:type="dxa"/>
            </w:tcMar>
          </w:tcPr>
          <w:p w:rsidR="00A40E1E" w:rsidRDefault="00BC398A">
            <w:pPr>
              <w:keepNext/>
              <w:rPr>
                <w:rFonts w:ascii="Humnst777 BT" w:eastAsia="Humnst777 BT" w:hAnsi="Humnst777 BT" w:cs="Humnst777 BT"/>
                <w:i/>
                <w:color w:val="000000"/>
                <w:sz w:val="14"/>
              </w:rPr>
            </w:pPr>
            <w:r>
              <w:rPr>
                <w:rFonts w:ascii="Humnst777 BT" w:eastAsia="Humnst777 BT" w:hAnsi="Humnst777 BT" w:cs="Humnst777 BT"/>
                <w:i/>
                <w:color w:val="000000"/>
                <w:sz w:val="14"/>
              </w:rPr>
              <w:t>2)</w:t>
            </w:r>
          </w:p>
        </w:tc>
        <w:tc>
          <w:tcPr>
            <w:tcW w:w="10515" w:type="dxa"/>
            <w:gridSpan w:val="7"/>
            <w:tcBorders>
              <w:top w:val="nil"/>
              <w:left w:val="nil"/>
              <w:bottom w:val="nil"/>
              <w:right w:val="nil"/>
              <w:tl2br w:val="nil"/>
              <w:tr2bl w:val="nil"/>
            </w:tcBorders>
            <w:shd w:val="clear" w:color="auto" w:fill="auto"/>
            <w:tcMar>
              <w:left w:w="29" w:type="dxa"/>
              <w:right w:w="29" w:type="dxa"/>
            </w:tcMar>
          </w:tcPr>
          <w:p w:rsidR="00A40E1E" w:rsidRPr="00BC398A" w:rsidRDefault="00BC398A">
            <w:pPr>
              <w:keepNext/>
              <w:rPr>
                <w:rFonts w:ascii="Humnst777 BT" w:eastAsia="Humnst777 BT" w:hAnsi="Humnst777 BT" w:cs="Humnst777 BT"/>
                <w:i/>
                <w:color w:val="000000"/>
                <w:sz w:val="14"/>
                <w:lang w:val="fr-CA"/>
              </w:rPr>
            </w:pPr>
            <w:r w:rsidRPr="00BC398A">
              <w:rPr>
                <w:rFonts w:ascii="Humnst777 BT" w:eastAsia="Humnst777 BT" w:hAnsi="Humnst777 BT" w:cs="Humnst777 BT"/>
                <w:i/>
                <w:color w:val="000000"/>
                <w:sz w:val="14"/>
                <w:lang w:val="fr-CA"/>
              </w:rPr>
              <w:t>Au premier trimestre de 2018, la Compagnie a redéfini les capitaux empruntés rajustés afin d'inclure les régimes de retraite en déficit et le BAIIA rajusté afin d'exclure les autres éléments du produit net des prestations et la charge au titre des contrats</w:t>
            </w:r>
            <w:r w:rsidRPr="00BC398A">
              <w:rPr>
                <w:rFonts w:ascii="Humnst777 BT" w:eastAsia="Humnst777 BT" w:hAnsi="Humnst777 BT" w:cs="Humnst777 BT"/>
                <w:i/>
                <w:color w:val="000000"/>
                <w:sz w:val="14"/>
                <w:lang w:val="fr-CA"/>
              </w:rPr>
              <w:t xml:space="preserve"> de location-exploitation afin de mieux harmoniser la définition du ratio capitaux empruntés rajustés/BAIIA rajusté sous forme de multiple utilisée par la Compagnie avec des mesures semblables utilisées par des agences de notation. Les données comparatives</w:t>
            </w:r>
            <w:r w:rsidRPr="00BC398A">
              <w:rPr>
                <w:rFonts w:ascii="Humnst777 BT" w:eastAsia="Humnst777 BT" w:hAnsi="Humnst777 BT" w:cs="Humnst777 BT"/>
                <w:i/>
                <w:color w:val="000000"/>
                <w:sz w:val="14"/>
                <w:lang w:val="fr-CA"/>
              </w:rPr>
              <w:t xml:space="preserve"> ont été rajustées afin de se conformer à la définition courante. </w:t>
            </w:r>
          </w:p>
        </w:tc>
      </w:tr>
    </w:tbl>
    <w:p w:rsidR="00A40E1E" w:rsidRPr="00BC398A" w:rsidRDefault="00A40E1E">
      <w:pPr>
        <w:rPr>
          <w:lang w:val="fr-CA"/>
        </w:rPr>
      </w:pPr>
    </w:p>
    <w:sectPr w:rsidR="00A40E1E" w:rsidRPr="00BC398A" w:rsidSect="00D8609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720" w:bottom="720" w:left="720" w:header="432" w:footer="259"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C398A">
      <w:r>
        <w:separator/>
      </w:r>
    </w:p>
  </w:endnote>
  <w:endnote w:type="continuationSeparator" w:id="0">
    <w:p w:rsidR="00000000" w:rsidRDefault="00B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Frutiger 57Cn">
    <w:altName w:val="Times New Roman"/>
    <w:panose1 w:val="00000000000000000000"/>
    <w:charset w:val="00"/>
    <w:family w:val="swiss"/>
    <w:notTrueType/>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nst777BT,Bold">
    <w:altName w:val="Times New Roman"/>
    <w:charset w:val="00"/>
    <w:family w:val="auto"/>
    <w:pitch w:val="default"/>
  </w:font>
  <w:font w:name="Humnst777B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nst777 Cn BT">
    <w:panose1 w:val="020B0506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33" w:rsidRDefault="00BC398A" w:rsidP="00171DE6">
    <w:pPr>
      <w:pBdr>
        <w:top w:val="nil"/>
        <w:left w:val="nil"/>
        <w:bottom w:val="nil"/>
        <w:right w:val="nil"/>
        <w:between w:val="nil"/>
        <w:bar w:val="nil"/>
      </w:pBdr>
      <w:rPr>
        <w:rFonts w:ascii="Humnst777 BT" w:eastAsia="Calibri" w:hAnsi="Humnst777 BT" w:cs="Arial"/>
        <w:sz w:val="16"/>
        <w:szCs w:val="16"/>
        <w:bdr w:val="nil"/>
        <w:lang w:val="fr-CA" w:eastAsia="zh-CN"/>
      </w:rPr>
    </w:pPr>
    <w:r>
      <w:rPr>
        <w:rFonts w:ascii="Humnst777 BT" w:hAnsi="Humnst777 BT" w:cs="Arial"/>
        <w:sz w:val="20"/>
        <w:szCs w:val="20"/>
        <w:bdr w:val="nil"/>
        <w:lang w:val="en-US" w:eastAsia="zh-CN"/>
      </w:rPr>
      <w:fldChar w:fldCharType="begin"/>
    </w:r>
    <w:r w:rsidRPr="009135F2">
      <w:rPr>
        <w:rFonts w:ascii="Humnst777 BT" w:hAnsi="Humnst777 BT" w:cs="Arial"/>
        <w:sz w:val="20"/>
        <w:szCs w:val="20"/>
        <w:bdr w:val="nil"/>
        <w:lang w:val="fr-CA" w:eastAsia="zh-CN"/>
      </w:rPr>
      <w:instrText xml:space="preserve"> PAGE   \* MERGEFORMAT </w:instrText>
    </w:r>
    <w:r>
      <w:rPr>
        <w:rFonts w:ascii="Humnst777 BT" w:eastAsia="Calibri" w:hAnsi="Humnst777 BT" w:cs="Arial"/>
        <w:sz w:val="20"/>
        <w:szCs w:val="20"/>
        <w:bdr w:val="nil"/>
        <w:lang w:val="en-US" w:eastAsia="zh-CN"/>
      </w:rPr>
      <w:fldChar w:fldCharType="separate"/>
    </w:r>
    <w:r w:rsidRPr="009135F2">
      <w:rPr>
        <w:rFonts w:ascii="Humnst777 BT" w:eastAsia="Calibri" w:hAnsi="Humnst777 BT" w:cs="Arial"/>
        <w:noProof/>
        <w:sz w:val="20"/>
        <w:szCs w:val="20"/>
        <w:bdr w:val="nil"/>
        <w:lang w:val="fr-CA" w:eastAsia="zh-CN"/>
      </w:rPr>
      <w:t>1</w:t>
    </w:r>
    <w:r>
      <w:rPr>
        <w:rFonts w:ascii="Humnst777 BT" w:eastAsia="Calibri" w:hAnsi="Humnst777 BT" w:cs="Arial"/>
        <w:sz w:val="20"/>
        <w:szCs w:val="20"/>
        <w:bdr w:val="nil"/>
        <w:lang w:val="en-US" w:eastAsia="zh-CN"/>
      </w:rPr>
      <w:fldChar w:fldCharType="end"/>
    </w:r>
    <w:r w:rsidRPr="009135F2">
      <w:rPr>
        <w:rFonts w:ascii="Humnst777 BT" w:eastAsia="Calibri" w:hAnsi="Humnst777 BT" w:cs="Arial"/>
        <w:sz w:val="17"/>
        <w:szCs w:val="17"/>
        <w:bdr w:val="nil"/>
        <w:lang w:val="fr-CA" w:eastAsia="zh-CN"/>
      </w:rPr>
      <w:t xml:space="preserve">   </w:t>
    </w:r>
    <w:r w:rsidRPr="009135F2">
      <w:rPr>
        <w:rFonts w:ascii="Humnst777 BT" w:eastAsia="Calibri" w:hAnsi="Humnst777 BT" w:cs="Arial"/>
        <w:b/>
        <w:color w:val="FF0000"/>
        <w:sz w:val="17"/>
        <w:szCs w:val="17"/>
        <w:bdr w:val="nil"/>
        <w:lang w:val="fr-CA" w:eastAsia="zh-CN"/>
      </w:rPr>
      <w:t xml:space="preserve"> </w:t>
    </w:r>
    <w:r w:rsidRPr="009135F2">
      <w:rPr>
        <w:rFonts w:ascii="Humnst777 BT" w:eastAsia="Calibri" w:hAnsi="Humnst777 BT" w:cs="Arial"/>
        <w:b/>
        <w:color w:val="FF0000"/>
        <w:sz w:val="16"/>
        <w:szCs w:val="16"/>
        <w:bdr w:val="nil"/>
        <w:lang w:val="fr-CA" w:eastAsia="zh-CN"/>
      </w:rPr>
      <w:t>CN</w:t>
    </w:r>
    <w:r>
      <w:rPr>
        <w:rFonts w:ascii="Humnst777 BT" w:eastAsia="Calibri" w:hAnsi="Humnst777 BT" w:cs="Arial"/>
        <w:sz w:val="16"/>
        <w:szCs w:val="16"/>
        <w:bdr w:val="nil"/>
        <w:lang w:val="fr-CA" w:eastAsia="zh-CN"/>
      </w:rPr>
      <w:t xml:space="preserve"> | </w:t>
    </w:r>
    <w:r w:rsidRPr="009135F2">
      <w:rPr>
        <w:rFonts w:ascii="Humnst777 BT" w:eastAsia="Calibri" w:hAnsi="Humnst777 BT" w:cs="Arial"/>
        <w:sz w:val="16"/>
        <w:szCs w:val="16"/>
        <w:bdr w:val="nil"/>
        <w:lang w:val="fr-CA" w:eastAsia="zh-CN"/>
      </w:rPr>
      <w:t>Revue trimestrielle</w:t>
    </w:r>
    <w:r>
      <w:rPr>
        <w:rFonts w:ascii="Humnst777 BT" w:eastAsia="Calibri" w:hAnsi="Humnst777 BT" w:cs="Arial"/>
        <w:sz w:val="16"/>
        <w:szCs w:val="16"/>
        <w:bdr w:val="nil"/>
        <w:lang w:val="fr-CA" w:eastAsia="zh-CN"/>
      </w:rPr>
      <w:t xml:space="preserve"> de 2018 – Premier trimestre</w:t>
    </w:r>
  </w:p>
  <w:p w:rsidR="00171DE6" w:rsidRPr="00171DE6" w:rsidRDefault="00BC398A" w:rsidP="00171DE6">
    <w:pPr>
      <w:pBdr>
        <w:top w:val="nil"/>
        <w:left w:val="nil"/>
        <w:bottom w:val="nil"/>
        <w:right w:val="nil"/>
        <w:between w:val="nil"/>
        <w:bar w:val="nil"/>
      </w:pBdr>
      <w:rPr>
        <w:rFonts w:ascii="Humnst777 BT" w:eastAsia="Calibri" w:hAnsi="Humnst777 BT" w:cs="Arial"/>
        <w:sz w:val="4"/>
        <w:szCs w:val="4"/>
        <w:bdr w:val="nil"/>
        <w:lang w:val="fr-CA"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33" w:rsidRDefault="00BC398A" w:rsidP="00171DE6">
    <w:pPr>
      <w:pBdr>
        <w:top w:val="nil"/>
        <w:left w:val="nil"/>
        <w:bottom w:val="nil"/>
        <w:right w:val="nil"/>
        <w:between w:val="nil"/>
        <w:bar w:val="nil"/>
      </w:pBdr>
      <w:rPr>
        <w:rFonts w:ascii="Humnst777 BT" w:eastAsia="Calibri" w:hAnsi="Humnst777 BT" w:cs="Arial"/>
        <w:sz w:val="16"/>
        <w:szCs w:val="16"/>
        <w:bdr w:val="nil"/>
        <w:lang w:val="fr-CA" w:eastAsia="zh-CN"/>
      </w:rPr>
    </w:pPr>
    <w:r>
      <w:rPr>
        <w:rFonts w:ascii="Humnst777 BT" w:hAnsi="Humnst777 BT" w:cs="Arial"/>
        <w:sz w:val="20"/>
        <w:szCs w:val="20"/>
        <w:bdr w:val="nil"/>
        <w:lang w:val="en-US" w:eastAsia="zh-CN"/>
      </w:rPr>
      <w:fldChar w:fldCharType="begin"/>
    </w:r>
    <w:r w:rsidRPr="009135F2">
      <w:rPr>
        <w:rFonts w:ascii="Humnst777 BT" w:hAnsi="Humnst777 BT" w:cs="Arial"/>
        <w:sz w:val="20"/>
        <w:szCs w:val="20"/>
        <w:bdr w:val="nil"/>
        <w:lang w:val="fr-CA" w:eastAsia="zh-CN"/>
      </w:rPr>
      <w:instrText xml:space="preserve"> PAGE   \* MERGEFORMAT </w:instrText>
    </w:r>
    <w:r>
      <w:rPr>
        <w:rFonts w:ascii="Humnst777 BT" w:eastAsia="Calibri" w:hAnsi="Humnst777 BT" w:cs="Arial"/>
        <w:sz w:val="20"/>
        <w:szCs w:val="20"/>
        <w:bdr w:val="nil"/>
        <w:lang w:val="en-US" w:eastAsia="zh-CN"/>
      </w:rPr>
      <w:fldChar w:fldCharType="separate"/>
    </w:r>
    <w:r w:rsidRPr="00BC398A">
      <w:rPr>
        <w:rFonts w:ascii="Humnst777 BT" w:eastAsia="Calibri" w:hAnsi="Humnst777 BT" w:cs="Arial"/>
        <w:noProof/>
        <w:sz w:val="20"/>
        <w:szCs w:val="20"/>
        <w:bdr w:val="nil"/>
        <w:lang w:val="fr-CA" w:eastAsia="zh-CN"/>
      </w:rPr>
      <w:t>1</w:t>
    </w:r>
    <w:r>
      <w:rPr>
        <w:rFonts w:ascii="Humnst777 BT" w:eastAsia="Calibri" w:hAnsi="Humnst777 BT" w:cs="Arial"/>
        <w:sz w:val="20"/>
        <w:szCs w:val="20"/>
        <w:bdr w:val="nil"/>
        <w:lang w:val="en-US" w:eastAsia="zh-CN"/>
      </w:rPr>
      <w:fldChar w:fldCharType="end"/>
    </w:r>
    <w:r w:rsidRPr="009135F2">
      <w:rPr>
        <w:rFonts w:ascii="Humnst777 BT" w:eastAsia="Calibri" w:hAnsi="Humnst777 BT" w:cs="Arial"/>
        <w:sz w:val="17"/>
        <w:szCs w:val="17"/>
        <w:bdr w:val="nil"/>
        <w:lang w:val="fr-CA" w:eastAsia="zh-CN"/>
      </w:rPr>
      <w:t xml:space="preserve">   </w:t>
    </w:r>
    <w:r w:rsidRPr="009135F2">
      <w:rPr>
        <w:rFonts w:ascii="Humnst777 BT" w:eastAsia="Calibri" w:hAnsi="Humnst777 BT" w:cs="Arial"/>
        <w:b/>
        <w:color w:val="FF0000"/>
        <w:sz w:val="17"/>
        <w:szCs w:val="17"/>
        <w:bdr w:val="nil"/>
        <w:lang w:val="fr-CA" w:eastAsia="zh-CN"/>
      </w:rPr>
      <w:t xml:space="preserve"> </w:t>
    </w:r>
    <w:r w:rsidRPr="009135F2">
      <w:rPr>
        <w:rFonts w:ascii="Humnst777 BT" w:eastAsia="Calibri" w:hAnsi="Humnst777 BT" w:cs="Arial"/>
        <w:b/>
        <w:color w:val="FF0000"/>
        <w:sz w:val="16"/>
        <w:szCs w:val="16"/>
        <w:bdr w:val="nil"/>
        <w:lang w:val="fr-CA" w:eastAsia="zh-CN"/>
      </w:rPr>
      <w:t>CN</w:t>
    </w:r>
    <w:r>
      <w:rPr>
        <w:rFonts w:ascii="Humnst777 BT" w:eastAsia="Calibri" w:hAnsi="Humnst777 BT" w:cs="Arial"/>
        <w:sz w:val="16"/>
        <w:szCs w:val="16"/>
        <w:bdr w:val="nil"/>
        <w:lang w:val="fr-CA" w:eastAsia="zh-CN"/>
      </w:rPr>
      <w:t xml:space="preserve"> | </w:t>
    </w:r>
    <w:r w:rsidRPr="009135F2">
      <w:rPr>
        <w:rFonts w:ascii="Humnst777 BT" w:eastAsia="Calibri" w:hAnsi="Humnst777 BT" w:cs="Arial"/>
        <w:sz w:val="16"/>
        <w:szCs w:val="16"/>
        <w:bdr w:val="nil"/>
        <w:lang w:val="fr-CA" w:eastAsia="zh-CN"/>
      </w:rPr>
      <w:t>Revue trimestrielle</w:t>
    </w:r>
    <w:r>
      <w:rPr>
        <w:rFonts w:ascii="Humnst777 BT" w:eastAsia="Calibri" w:hAnsi="Humnst777 BT" w:cs="Arial"/>
        <w:sz w:val="16"/>
        <w:szCs w:val="16"/>
        <w:bdr w:val="nil"/>
        <w:lang w:val="fr-CA" w:eastAsia="zh-CN"/>
      </w:rPr>
      <w:t xml:space="preserve"> de 2018 – Premier trimestre</w:t>
    </w:r>
  </w:p>
  <w:p w:rsidR="00171DE6" w:rsidRPr="00171DE6" w:rsidRDefault="00BC398A" w:rsidP="00171DE6">
    <w:pPr>
      <w:pBdr>
        <w:top w:val="nil"/>
        <w:left w:val="nil"/>
        <w:bottom w:val="nil"/>
        <w:right w:val="nil"/>
        <w:between w:val="nil"/>
        <w:bar w:val="nil"/>
      </w:pBdr>
      <w:rPr>
        <w:rFonts w:ascii="Humnst777 BT" w:eastAsia="Calibri" w:hAnsi="Humnst777 BT" w:cs="Arial"/>
        <w:sz w:val="4"/>
        <w:szCs w:val="4"/>
        <w:bdr w:val="nil"/>
        <w:lang w:val="fr-CA"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1E" w:rsidRDefault="00A40E1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33" w:rsidRDefault="00BC398A" w:rsidP="00171DE6">
    <w:pPr>
      <w:pBdr>
        <w:top w:val="nil"/>
        <w:left w:val="nil"/>
        <w:bottom w:val="nil"/>
        <w:right w:val="nil"/>
        <w:between w:val="nil"/>
        <w:bar w:val="nil"/>
      </w:pBdr>
      <w:rPr>
        <w:rFonts w:ascii="Humnst777 BT" w:eastAsia="Calibri" w:hAnsi="Humnst777 BT" w:cs="Arial"/>
        <w:sz w:val="16"/>
        <w:szCs w:val="16"/>
        <w:bdr w:val="nil"/>
        <w:lang w:val="fr-CA" w:eastAsia="zh-CN"/>
      </w:rPr>
    </w:pPr>
    <w:r>
      <w:rPr>
        <w:rFonts w:ascii="Humnst777 BT" w:hAnsi="Humnst777 BT" w:cs="Arial"/>
        <w:sz w:val="20"/>
        <w:szCs w:val="20"/>
        <w:bdr w:val="nil"/>
        <w:lang w:val="en-US" w:eastAsia="zh-CN"/>
      </w:rPr>
      <w:fldChar w:fldCharType="begin"/>
    </w:r>
    <w:r w:rsidRPr="009135F2">
      <w:rPr>
        <w:rFonts w:ascii="Humnst777 BT" w:hAnsi="Humnst777 BT" w:cs="Arial"/>
        <w:sz w:val="20"/>
        <w:szCs w:val="20"/>
        <w:bdr w:val="nil"/>
        <w:lang w:val="fr-CA" w:eastAsia="zh-CN"/>
      </w:rPr>
      <w:instrText xml:space="preserve"> PAGE   \* MERGEFORMAT </w:instrText>
    </w:r>
    <w:r>
      <w:rPr>
        <w:rFonts w:ascii="Humnst777 BT" w:eastAsia="Calibri" w:hAnsi="Humnst777 BT" w:cs="Arial"/>
        <w:sz w:val="20"/>
        <w:szCs w:val="20"/>
        <w:bdr w:val="nil"/>
        <w:lang w:val="en-US" w:eastAsia="zh-CN"/>
      </w:rPr>
      <w:fldChar w:fldCharType="separate"/>
    </w:r>
    <w:r w:rsidRPr="009135F2">
      <w:rPr>
        <w:rFonts w:ascii="Humnst777 BT" w:eastAsia="Calibri" w:hAnsi="Humnst777 BT" w:cs="Arial"/>
        <w:noProof/>
        <w:sz w:val="20"/>
        <w:szCs w:val="20"/>
        <w:bdr w:val="nil"/>
        <w:lang w:val="fr-CA" w:eastAsia="zh-CN"/>
      </w:rPr>
      <w:t>1</w:t>
    </w:r>
    <w:r>
      <w:rPr>
        <w:rFonts w:ascii="Humnst777 BT" w:eastAsia="Calibri" w:hAnsi="Humnst777 BT" w:cs="Arial"/>
        <w:sz w:val="20"/>
        <w:szCs w:val="20"/>
        <w:bdr w:val="nil"/>
        <w:lang w:val="en-US" w:eastAsia="zh-CN"/>
      </w:rPr>
      <w:fldChar w:fldCharType="end"/>
    </w:r>
    <w:r w:rsidRPr="009135F2">
      <w:rPr>
        <w:rFonts w:ascii="Humnst777 BT" w:eastAsia="Calibri" w:hAnsi="Humnst777 BT" w:cs="Arial"/>
        <w:sz w:val="17"/>
        <w:szCs w:val="17"/>
        <w:bdr w:val="nil"/>
        <w:lang w:val="fr-CA" w:eastAsia="zh-CN"/>
      </w:rPr>
      <w:t xml:space="preserve">   </w:t>
    </w:r>
    <w:r w:rsidRPr="009135F2">
      <w:rPr>
        <w:rFonts w:ascii="Humnst777 BT" w:eastAsia="Calibri" w:hAnsi="Humnst777 BT" w:cs="Arial"/>
        <w:b/>
        <w:color w:val="FF0000"/>
        <w:sz w:val="17"/>
        <w:szCs w:val="17"/>
        <w:bdr w:val="nil"/>
        <w:lang w:val="fr-CA" w:eastAsia="zh-CN"/>
      </w:rPr>
      <w:t xml:space="preserve"> </w:t>
    </w:r>
    <w:r w:rsidRPr="009135F2">
      <w:rPr>
        <w:rFonts w:ascii="Humnst777 BT" w:eastAsia="Calibri" w:hAnsi="Humnst777 BT" w:cs="Arial"/>
        <w:b/>
        <w:color w:val="FF0000"/>
        <w:sz w:val="16"/>
        <w:szCs w:val="16"/>
        <w:bdr w:val="nil"/>
        <w:lang w:val="fr-CA" w:eastAsia="zh-CN"/>
      </w:rPr>
      <w:t>CN</w:t>
    </w:r>
    <w:r>
      <w:rPr>
        <w:rFonts w:ascii="Humnst777 BT" w:eastAsia="Calibri" w:hAnsi="Humnst777 BT" w:cs="Arial"/>
        <w:sz w:val="16"/>
        <w:szCs w:val="16"/>
        <w:bdr w:val="nil"/>
        <w:lang w:val="fr-CA" w:eastAsia="zh-CN"/>
      </w:rPr>
      <w:t xml:space="preserve"> | </w:t>
    </w:r>
    <w:r w:rsidRPr="009135F2">
      <w:rPr>
        <w:rFonts w:ascii="Humnst777 BT" w:eastAsia="Calibri" w:hAnsi="Humnst777 BT" w:cs="Arial"/>
        <w:sz w:val="16"/>
        <w:szCs w:val="16"/>
        <w:bdr w:val="nil"/>
        <w:lang w:val="fr-CA" w:eastAsia="zh-CN"/>
      </w:rPr>
      <w:t>Revue trimestrielle</w:t>
    </w:r>
    <w:r>
      <w:rPr>
        <w:rFonts w:ascii="Humnst777 BT" w:eastAsia="Calibri" w:hAnsi="Humnst777 BT" w:cs="Arial"/>
        <w:sz w:val="16"/>
        <w:szCs w:val="16"/>
        <w:bdr w:val="nil"/>
        <w:lang w:val="fr-CA" w:eastAsia="zh-CN"/>
      </w:rPr>
      <w:t xml:space="preserve"> de 2018 – Premier trimestre</w:t>
    </w:r>
  </w:p>
  <w:p w:rsidR="00171DE6" w:rsidRPr="00171DE6" w:rsidRDefault="00BC398A" w:rsidP="00171DE6">
    <w:pPr>
      <w:pBdr>
        <w:top w:val="nil"/>
        <w:left w:val="nil"/>
        <w:bottom w:val="nil"/>
        <w:right w:val="nil"/>
        <w:between w:val="nil"/>
        <w:bar w:val="nil"/>
      </w:pBdr>
      <w:rPr>
        <w:rFonts w:ascii="Humnst777 BT" w:eastAsia="Calibri" w:hAnsi="Humnst777 BT" w:cs="Arial"/>
        <w:sz w:val="4"/>
        <w:szCs w:val="4"/>
        <w:bdr w:val="nil"/>
        <w:lang w:val="fr-CA"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33" w:rsidRDefault="00BC398A" w:rsidP="00171DE6">
    <w:pPr>
      <w:pBdr>
        <w:top w:val="nil"/>
        <w:left w:val="nil"/>
        <w:bottom w:val="nil"/>
        <w:right w:val="nil"/>
        <w:between w:val="nil"/>
        <w:bar w:val="nil"/>
      </w:pBdr>
      <w:rPr>
        <w:rFonts w:ascii="Humnst777 BT" w:eastAsia="Calibri" w:hAnsi="Humnst777 BT" w:cs="Arial"/>
        <w:sz w:val="16"/>
        <w:szCs w:val="16"/>
        <w:bdr w:val="nil"/>
        <w:lang w:val="fr-CA" w:eastAsia="zh-CN"/>
      </w:rPr>
    </w:pPr>
    <w:r>
      <w:rPr>
        <w:rFonts w:ascii="Humnst777 BT" w:hAnsi="Humnst777 BT" w:cs="Arial"/>
        <w:sz w:val="20"/>
        <w:szCs w:val="20"/>
        <w:bdr w:val="nil"/>
        <w:lang w:val="en-US" w:eastAsia="zh-CN"/>
      </w:rPr>
      <w:fldChar w:fldCharType="begin"/>
    </w:r>
    <w:r w:rsidRPr="009135F2">
      <w:rPr>
        <w:rFonts w:ascii="Humnst777 BT" w:hAnsi="Humnst777 BT" w:cs="Arial"/>
        <w:sz w:val="20"/>
        <w:szCs w:val="20"/>
        <w:bdr w:val="nil"/>
        <w:lang w:val="fr-CA" w:eastAsia="zh-CN"/>
      </w:rPr>
      <w:instrText xml:space="preserve"> PAGE   \* MERGEFORMAT </w:instrText>
    </w:r>
    <w:r>
      <w:rPr>
        <w:rFonts w:ascii="Humnst777 BT" w:eastAsia="Calibri" w:hAnsi="Humnst777 BT" w:cs="Arial"/>
        <w:sz w:val="20"/>
        <w:szCs w:val="20"/>
        <w:bdr w:val="nil"/>
        <w:lang w:val="en-US" w:eastAsia="zh-CN"/>
      </w:rPr>
      <w:fldChar w:fldCharType="separate"/>
    </w:r>
    <w:r w:rsidRPr="00BC398A">
      <w:rPr>
        <w:rFonts w:ascii="Humnst777 BT" w:eastAsia="Calibri" w:hAnsi="Humnst777 BT" w:cs="Arial"/>
        <w:noProof/>
        <w:sz w:val="20"/>
        <w:szCs w:val="20"/>
        <w:bdr w:val="nil"/>
        <w:lang w:val="fr-CA" w:eastAsia="zh-CN"/>
      </w:rPr>
      <w:t>2</w:t>
    </w:r>
    <w:r>
      <w:rPr>
        <w:rFonts w:ascii="Humnst777 BT" w:eastAsia="Calibri" w:hAnsi="Humnst777 BT" w:cs="Arial"/>
        <w:sz w:val="20"/>
        <w:szCs w:val="20"/>
        <w:bdr w:val="nil"/>
        <w:lang w:val="en-US" w:eastAsia="zh-CN"/>
      </w:rPr>
      <w:fldChar w:fldCharType="end"/>
    </w:r>
    <w:r w:rsidRPr="009135F2">
      <w:rPr>
        <w:rFonts w:ascii="Humnst777 BT" w:eastAsia="Calibri" w:hAnsi="Humnst777 BT" w:cs="Arial"/>
        <w:sz w:val="17"/>
        <w:szCs w:val="17"/>
        <w:bdr w:val="nil"/>
        <w:lang w:val="fr-CA" w:eastAsia="zh-CN"/>
      </w:rPr>
      <w:t xml:space="preserve">   </w:t>
    </w:r>
    <w:r w:rsidRPr="009135F2">
      <w:rPr>
        <w:rFonts w:ascii="Humnst777 BT" w:eastAsia="Calibri" w:hAnsi="Humnst777 BT" w:cs="Arial"/>
        <w:b/>
        <w:color w:val="FF0000"/>
        <w:sz w:val="17"/>
        <w:szCs w:val="17"/>
        <w:bdr w:val="nil"/>
        <w:lang w:val="fr-CA" w:eastAsia="zh-CN"/>
      </w:rPr>
      <w:t xml:space="preserve"> </w:t>
    </w:r>
    <w:r w:rsidRPr="009135F2">
      <w:rPr>
        <w:rFonts w:ascii="Humnst777 BT" w:eastAsia="Calibri" w:hAnsi="Humnst777 BT" w:cs="Arial"/>
        <w:b/>
        <w:color w:val="FF0000"/>
        <w:sz w:val="16"/>
        <w:szCs w:val="16"/>
        <w:bdr w:val="nil"/>
        <w:lang w:val="fr-CA" w:eastAsia="zh-CN"/>
      </w:rPr>
      <w:t>CN</w:t>
    </w:r>
    <w:r>
      <w:rPr>
        <w:rFonts w:ascii="Humnst777 BT" w:eastAsia="Calibri" w:hAnsi="Humnst777 BT" w:cs="Arial"/>
        <w:sz w:val="16"/>
        <w:szCs w:val="16"/>
        <w:bdr w:val="nil"/>
        <w:lang w:val="fr-CA" w:eastAsia="zh-CN"/>
      </w:rPr>
      <w:t xml:space="preserve"> | </w:t>
    </w:r>
    <w:r w:rsidRPr="009135F2">
      <w:rPr>
        <w:rFonts w:ascii="Humnst777 BT" w:eastAsia="Calibri" w:hAnsi="Humnst777 BT" w:cs="Arial"/>
        <w:sz w:val="16"/>
        <w:szCs w:val="16"/>
        <w:bdr w:val="nil"/>
        <w:lang w:val="fr-CA" w:eastAsia="zh-CN"/>
      </w:rPr>
      <w:t>Revue trimestrielle</w:t>
    </w:r>
    <w:r>
      <w:rPr>
        <w:rFonts w:ascii="Humnst777 BT" w:eastAsia="Calibri" w:hAnsi="Humnst777 BT" w:cs="Arial"/>
        <w:sz w:val="16"/>
        <w:szCs w:val="16"/>
        <w:bdr w:val="nil"/>
        <w:lang w:val="fr-CA" w:eastAsia="zh-CN"/>
      </w:rPr>
      <w:t xml:space="preserve"> de 2018 – Premier trimestre</w:t>
    </w:r>
  </w:p>
  <w:p w:rsidR="00171DE6" w:rsidRPr="00171DE6" w:rsidRDefault="00BC398A" w:rsidP="00171DE6">
    <w:pPr>
      <w:pBdr>
        <w:top w:val="nil"/>
        <w:left w:val="nil"/>
        <w:bottom w:val="nil"/>
        <w:right w:val="nil"/>
        <w:between w:val="nil"/>
        <w:bar w:val="nil"/>
      </w:pBdr>
      <w:rPr>
        <w:rFonts w:ascii="Humnst777 BT" w:eastAsia="Calibri" w:hAnsi="Humnst777 BT" w:cs="Arial"/>
        <w:sz w:val="4"/>
        <w:szCs w:val="4"/>
        <w:bdr w:val="nil"/>
        <w:lang w:val="fr-CA"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1E" w:rsidRDefault="00A40E1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33" w:rsidRDefault="00BC398A" w:rsidP="00171DE6">
    <w:pPr>
      <w:pBdr>
        <w:top w:val="nil"/>
        <w:left w:val="nil"/>
        <w:bottom w:val="nil"/>
        <w:right w:val="nil"/>
        <w:between w:val="nil"/>
        <w:bar w:val="nil"/>
      </w:pBdr>
      <w:rPr>
        <w:rFonts w:ascii="Humnst777 BT" w:eastAsia="Calibri" w:hAnsi="Humnst777 BT" w:cs="Arial"/>
        <w:sz w:val="16"/>
        <w:szCs w:val="16"/>
        <w:bdr w:val="nil"/>
        <w:lang w:val="fr-CA" w:eastAsia="zh-CN"/>
      </w:rPr>
    </w:pPr>
    <w:r>
      <w:rPr>
        <w:rFonts w:ascii="Humnst777 BT" w:hAnsi="Humnst777 BT" w:cs="Arial"/>
        <w:sz w:val="20"/>
        <w:szCs w:val="20"/>
        <w:bdr w:val="nil"/>
        <w:lang w:val="en-US" w:eastAsia="zh-CN"/>
      </w:rPr>
      <w:fldChar w:fldCharType="begin"/>
    </w:r>
    <w:r w:rsidRPr="009135F2">
      <w:rPr>
        <w:rFonts w:ascii="Humnst777 BT" w:hAnsi="Humnst777 BT" w:cs="Arial"/>
        <w:sz w:val="20"/>
        <w:szCs w:val="20"/>
        <w:bdr w:val="nil"/>
        <w:lang w:val="fr-CA" w:eastAsia="zh-CN"/>
      </w:rPr>
      <w:instrText xml:space="preserve"> PAGE   \* MERGEFORMAT </w:instrText>
    </w:r>
    <w:r>
      <w:rPr>
        <w:rFonts w:ascii="Humnst777 BT" w:eastAsia="Calibri" w:hAnsi="Humnst777 BT" w:cs="Arial"/>
        <w:sz w:val="20"/>
        <w:szCs w:val="20"/>
        <w:bdr w:val="nil"/>
        <w:lang w:val="en-US" w:eastAsia="zh-CN"/>
      </w:rPr>
      <w:fldChar w:fldCharType="separate"/>
    </w:r>
    <w:r w:rsidRPr="009135F2">
      <w:rPr>
        <w:rFonts w:ascii="Humnst777 BT" w:eastAsia="Calibri" w:hAnsi="Humnst777 BT" w:cs="Arial"/>
        <w:noProof/>
        <w:sz w:val="20"/>
        <w:szCs w:val="20"/>
        <w:bdr w:val="nil"/>
        <w:lang w:val="fr-CA" w:eastAsia="zh-CN"/>
      </w:rPr>
      <w:t>1</w:t>
    </w:r>
    <w:r>
      <w:rPr>
        <w:rFonts w:ascii="Humnst777 BT" w:eastAsia="Calibri" w:hAnsi="Humnst777 BT" w:cs="Arial"/>
        <w:sz w:val="20"/>
        <w:szCs w:val="20"/>
        <w:bdr w:val="nil"/>
        <w:lang w:val="en-US" w:eastAsia="zh-CN"/>
      </w:rPr>
      <w:fldChar w:fldCharType="end"/>
    </w:r>
    <w:r w:rsidRPr="009135F2">
      <w:rPr>
        <w:rFonts w:ascii="Humnst777 BT" w:eastAsia="Calibri" w:hAnsi="Humnst777 BT" w:cs="Arial"/>
        <w:sz w:val="17"/>
        <w:szCs w:val="17"/>
        <w:bdr w:val="nil"/>
        <w:lang w:val="fr-CA" w:eastAsia="zh-CN"/>
      </w:rPr>
      <w:t xml:space="preserve">   </w:t>
    </w:r>
    <w:r w:rsidRPr="009135F2">
      <w:rPr>
        <w:rFonts w:ascii="Humnst777 BT" w:eastAsia="Calibri" w:hAnsi="Humnst777 BT" w:cs="Arial"/>
        <w:b/>
        <w:color w:val="FF0000"/>
        <w:sz w:val="17"/>
        <w:szCs w:val="17"/>
        <w:bdr w:val="nil"/>
        <w:lang w:val="fr-CA" w:eastAsia="zh-CN"/>
      </w:rPr>
      <w:t xml:space="preserve"> </w:t>
    </w:r>
    <w:r w:rsidRPr="009135F2">
      <w:rPr>
        <w:rFonts w:ascii="Humnst777 BT" w:eastAsia="Calibri" w:hAnsi="Humnst777 BT" w:cs="Arial"/>
        <w:b/>
        <w:color w:val="FF0000"/>
        <w:sz w:val="16"/>
        <w:szCs w:val="16"/>
        <w:bdr w:val="nil"/>
        <w:lang w:val="fr-CA" w:eastAsia="zh-CN"/>
      </w:rPr>
      <w:t>CN</w:t>
    </w:r>
    <w:r>
      <w:rPr>
        <w:rFonts w:ascii="Humnst777 BT" w:eastAsia="Calibri" w:hAnsi="Humnst777 BT" w:cs="Arial"/>
        <w:sz w:val="16"/>
        <w:szCs w:val="16"/>
        <w:bdr w:val="nil"/>
        <w:lang w:val="fr-CA" w:eastAsia="zh-CN"/>
      </w:rPr>
      <w:t xml:space="preserve"> | </w:t>
    </w:r>
    <w:r w:rsidRPr="009135F2">
      <w:rPr>
        <w:rFonts w:ascii="Humnst777 BT" w:eastAsia="Calibri" w:hAnsi="Humnst777 BT" w:cs="Arial"/>
        <w:sz w:val="16"/>
        <w:szCs w:val="16"/>
        <w:bdr w:val="nil"/>
        <w:lang w:val="fr-CA" w:eastAsia="zh-CN"/>
      </w:rPr>
      <w:t>Revue trimestrielle</w:t>
    </w:r>
    <w:r>
      <w:rPr>
        <w:rFonts w:ascii="Humnst777 BT" w:eastAsia="Calibri" w:hAnsi="Humnst777 BT" w:cs="Arial"/>
        <w:sz w:val="16"/>
        <w:szCs w:val="16"/>
        <w:bdr w:val="nil"/>
        <w:lang w:val="fr-CA" w:eastAsia="zh-CN"/>
      </w:rPr>
      <w:t xml:space="preserve"> de 2018 – Premier trimestre</w:t>
    </w:r>
  </w:p>
  <w:p w:rsidR="00171DE6" w:rsidRPr="00171DE6" w:rsidRDefault="00BC398A" w:rsidP="00171DE6">
    <w:pPr>
      <w:pBdr>
        <w:top w:val="nil"/>
        <w:left w:val="nil"/>
        <w:bottom w:val="nil"/>
        <w:right w:val="nil"/>
        <w:between w:val="nil"/>
        <w:bar w:val="nil"/>
      </w:pBdr>
      <w:rPr>
        <w:rFonts w:ascii="Humnst777 BT" w:eastAsia="Calibri" w:hAnsi="Humnst777 BT" w:cs="Arial"/>
        <w:sz w:val="4"/>
        <w:szCs w:val="4"/>
        <w:bdr w:val="nil"/>
        <w:lang w:val="fr-CA"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33" w:rsidRDefault="00BC398A" w:rsidP="00171DE6">
    <w:pPr>
      <w:pBdr>
        <w:top w:val="nil"/>
        <w:left w:val="nil"/>
        <w:bottom w:val="nil"/>
        <w:right w:val="nil"/>
        <w:between w:val="nil"/>
        <w:bar w:val="nil"/>
      </w:pBdr>
      <w:rPr>
        <w:rFonts w:ascii="Humnst777 BT" w:eastAsia="Calibri" w:hAnsi="Humnst777 BT" w:cs="Arial"/>
        <w:sz w:val="16"/>
        <w:szCs w:val="16"/>
        <w:bdr w:val="nil"/>
        <w:lang w:val="fr-CA" w:eastAsia="zh-CN"/>
      </w:rPr>
    </w:pPr>
    <w:r>
      <w:rPr>
        <w:rFonts w:ascii="Humnst777 BT" w:hAnsi="Humnst777 BT" w:cs="Arial"/>
        <w:sz w:val="20"/>
        <w:szCs w:val="20"/>
        <w:bdr w:val="nil"/>
        <w:lang w:val="en-US" w:eastAsia="zh-CN"/>
      </w:rPr>
      <w:fldChar w:fldCharType="begin"/>
    </w:r>
    <w:r w:rsidRPr="009135F2">
      <w:rPr>
        <w:rFonts w:ascii="Humnst777 BT" w:hAnsi="Humnst777 BT" w:cs="Arial"/>
        <w:sz w:val="20"/>
        <w:szCs w:val="20"/>
        <w:bdr w:val="nil"/>
        <w:lang w:val="fr-CA" w:eastAsia="zh-CN"/>
      </w:rPr>
      <w:instrText xml:space="preserve"> PAGE   \* MERGEFORMAT </w:instrText>
    </w:r>
    <w:r>
      <w:rPr>
        <w:rFonts w:ascii="Humnst777 BT" w:eastAsia="Calibri" w:hAnsi="Humnst777 BT" w:cs="Arial"/>
        <w:sz w:val="20"/>
        <w:szCs w:val="20"/>
        <w:bdr w:val="nil"/>
        <w:lang w:val="en-US" w:eastAsia="zh-CN"/>
      </w:rPr>
      <w:fldChar w:fldCharType="separate"/>
    </w:r>
    <w:r w:rsidRPr="00BC398A">
      <w:rPr>
        <w:rFonts w:ascii="Humnst777 BT" w:eastAsia="Calibri" w:hAnsi="Humnst777 BT" w:cs="Arial"/>
        <w:noProof/>
        <w:sz w:val="20"/>
        <w:szCs w:val="20"/>
        <w:bdr w:val="nil"/>
        <w:lang w:val="fr-CA" w:eastAsia="zh-CN"/>
      </w:rPr>
      <w:t>5</w:t>
    </w:r>
    <w:r>
      <w:rPr>
        <w:rFonts w:ascii="Humnst777 BT" w:eastAsia="Calibri" w:hAnsi="Humnst777 BT" w:cs="Arial"/>
        <w:sz w:val="20"/>
        <w:szCs w:val="20"/>
        <w:bdr w:val="nil"/>
        <w:lang w:val="en-US" w:eastAsia="zh-CN"/>
      </w:rPr>
      <w:fldChar w:fldCharType="end"/>
    </w:r>
    <w:r w:rsidRPr="009135F2">
      <w:rPr>
        <w:rFonts w:ascii="Humnst777 BT" w:eastAsia="Calibri" w:hAnsi="Humnst777 BT" w:cs="Arial"/>
        <w:sz w:val="17"/>
        <w:szCs w:val="17"/>
        <w:bdr w:val="nil"/>
        <w:lang w:val="fr-CA" w:eastAsia="zh-CN"/>
      </w:rPr>
      <w:t xml:space="preserve">   </w:t>
    </w:r>
    <w:r w:rsidRPr="009135F2">
      <w:rPr>
        <w:rFonts w:ascii="Humnst777 BT" w:eastAsia="Calibri" w:hAnsi="Humnst777 BT" w:cs="Arial"/>
        <w:b/>
        <w:color w:val="FF0000"/>
        <w:sz w:val="17"/>
        <w:szCs w:val="17"/>
        <w:bdr w:val="nil"/>
        <w:lang w:val="fr-CA" w:eastAsia="zh-CN"/>
      </w:rPr>
      <w:t xml:space="preserve"> </w:t>
    </w:r>
    <w:r w:rsidRPr="009135F2">
      <w:rPr>
        <w:rFonts w:ascii="Humnst777 BT" w:eastAsia="Calibri" w:hAnsi="Humnst777 BT" w:cs="Arial"/>
        <w:b/>
        <w:color w:val="FF0000"/>
        <w:sz w:val="16"/>
        <w:szCs w:val="16"/>
        <w:bdr w:val="nil"/>
        <w:lang w:val="fr-CA" w:eastAsia="zh-CN"/>
      </w:rPr>
      <w:t>CN</w:t>
    </w:r>
    <w:r>
      <w:rPr>
        <w:rFonts w:ascii="Humnst777 BT" w:eastAsia="Calibri" w:hAnsi="Humnst777 BT" w:cs="Arial"/>
        <w:sz w:val="16"/>
        <w:szCs w:val="16"/>
        <w:bdr w:val="nil"/>
        <w:lang w:val="fr-CA" w:eastAsia="zh-CN"/>
      </w:rPr>
      <w:t xml:space="preserve"> | </w:t>
    </w:r>
    <w:r w:rsidRPr="009135F2">
      <w:rPr>
        <w:rFonts w:ascii="Humnst777 BT" w:eastAsia="Calibri" w:hAnsi="Humnst777 BT" w:cs="Arial"/>
        <w:sz w:val="16"/>
        <w:szCs w:val="16"/>
        <w:bdr w:val="nil"/>
        <w:lang w:val="fr-CA" w:eastAsia="zh-CN"/>
      </w:rPr>
      <w:t>Revue trimestrielle</w:t>
    </w:r>
    <w:r>
      <w:rPr>
        <w:rFonts w:ascii="Humnst777 BT" w:eastAsia="Calibri" w:hAnsi="Humnst777 BT" w:cs="Arial"/>
        <w:sz w:val="16"/>
        <w:szCs w:val="16"/>
        <w:bdr w:val="nil"/>
        <w:lang w:val="fr-CA" w:eastAsia="zh-CN"/>
      </w:rPr>
      <w:t xml:space="preserve"> de 2018 – Premier trimestre</w:t>
    </w:r>
  </w:p>
  <w:p w:rsidR="00171DE6" w:rsidRPr="00171DE6" w:rsidRDefault="00BC398A" w:rsidP="00171DE6">
    <w:pPr>
      <w:pBdr>
        <w:top w:val="nil"/>
        <w:left w:val="nil"/>
        <w:bottom w:val="nil"/>
        <w:right w:val="nil"/>
        <w:between w:val="nil"/>
        <w:bar w:val="nil"/>
      </w:pBdr>
      <w:rPr>
        <w:rFonts w:ascii="Humnst777 BT" w:eastAsia="Calibri" w:hAnsi="Humnst777 BT" w:cs="Arial"/>
        <w:sz w:val="4"/>
        <w:szCs w:val="4"/>
        <w:bdr w:val="nil"/>
        <w:lang w:val="fr-CA" w:eastAsia="zh-C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1E" w:rsidRDefault="00A40E1E">
    <w:pPr>
      <w:pBdr>
        <w:top w:val="nil"/>
        <w:left w:val="nil"/>
        <w:bottom w:val="nil"/>
        <w:right w:val="nil"/>
        <w:between w:val="nil"/>
        <w:bar w:val="nil"/>
      </w:pBdr>
      <w:spacing w:after="200" w:line="276" w:lineRule="auto"/>
      <w:rPr>
        <w:rFonts w:ascii="Calibri" w:eastAsia="Calibri" w:hAnsi="Calibri" w:cs="Arial"/>
        <w:sz w:val="22"/>
        <w:szCs w:val="22"/>
        <w:bdr w:val="nil"/>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C398A">
      <w:r>
        <w:separator/>
      </w:r>
    </w:p>
  </w:footnote>
  <w:footnote w:type="continuationSeparator" w:id="0">
    <w:p w:rsidR="00000000" w:rsidRDefault="00BC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49" w:rsidRPr="00AC28B3" w:rsidRDefault="00BC398A" w:rsidP="00951349">
    <w:pPr>
      <w:pStyle w:val="Normal43"/>
      <w:pBdr>
        <w:top w:val="nil"/>
        <w:left w:val="nil"/>
        <w:bottom w:val="nil"/>
        <w:right w:val="nil"/>
        <w:between w:val="nil"/>
        <w:bar w:val="nil"/>
      </w:pBdr>
      <w:tabs>
        <w:tab w:val="left" w:pos="149"/>
        <w:tab w:val="left" w:pos="331"/>
        <w:tab w:val="left" w:pos="5669"/>
        <w:tab w:val="left" w:pos="7176"/>
        <w:tab w:val="left" w:pos="8371"/>
        <w:tab w:val="left" w:pos="9547"/>
        <w:tab w:val="left" w:pos="10560"/>
        <w:tab w:val="left" w:pos="10699"/>
      </w:tabs>
      <w:rPr>
        <w:rFonts w:ascii="Humnst777 BT" w:hAnsi="Humnst777 BT"/>
        <w:color w:val="0070C0"/>
        <w:sz w:val="22"/>
        <w:szCs w:val="22"/>
        <w:bdr w:val="nil"/>
        <w:lang w:val="en-US" w:eastAsia="en-US"/>
      </w:rPr>
    </w:pPr>
    <w:r w:rsidRPr="00AC28B3">
      <w:rPr>
        <w:rFonts w:ascii="Humnst777 BT" w:hAnsi="Humnst777 BT"/>
        <w:b/>
        <w:color w:val="0070C0"/>
        <w:sz w:val="22"/>
        <w:szCs w:val="22"/>
        <w:bdr w:val="nil"/>
        <w:lang w:val="fr-CA" w:eastAsia="en-US"/>
      </w:rPr>
      <w:t xml:space="preserve">Quelques statistiques ferroviaires – non </w:t>
    </w:r>
    <w:r>
      <w:rPr>
        <w:rFonts w:ascii="Humnst777 BT" w:hAnsi="Humnst777 BT"/>
        <w:b/>
        <w:color w:val="0070C0"/>
        <w:sz w:val="22"/>
        <w:szCs w:val="22"/>
        <w:bdr w:val="nil"/>
        <w:lang w:val="fr-CA" w:eastAsia="en-US"/>
      </w:rPr>
      <w:t>audit</w:t>
    </w:r>
    <w:r w:rsidRPr="00AC28B3">
      <w:rPr>
        <w:rFonts w:ascii="Humnst777 BT" w:hAnsi="Humnst777 BT"/>
        <w:b/>
        <w:color w:val="0070C0"/>
        <w:sz w:val="22"/>
        <w:szCs w:val="22"/>
        <w:bdr w:val="nil"/>
        <w:lang w:val="fr-CA" w:eastAsia="en-US"/>
      </w:rPr>
      <w:t>ées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349" w:rsidRPr="00AC28B3" w:rsidRDefault="00BC398A" w:rsidP="00951349">
    <w:pPr>
      <w:pStyle w:val="Normal43"/>
      <w:pBdr>
        <w:top w:val="nil"/>
        <w:left w:val="nil"/>
        <w:bottom w:val="nil"/>
        <w:right w:val="nil"/>
        <w:between w:val="nil"/>
        <w:bar w:val="nil"/>
      </w:pBdr>
      <w:tabs>
        <w:tab w:val="left" w:pos="149"/>
        <w:tab w:val="left" w:pos="331"/>
        <w:tab w:val="left" w:pos="5669"/>
        <w:tab w:val="left" w:pos="7176"/>
        <w:tab w:val="left" w:pos="8371"/>
        <w:tab w:val="left" w:pos="9547"/>
        <w:tab w:val="left" w:pos="10560"/>
        <w:tab w:val="left" w:pos="10699"/>
      </w:tabs>
      <w:rPr>
        <w:rFonts w:ascii="Humnst777 BT" w:hAnsi="Humnst777 BT"/>
        <w:color w:val="0070C0"/>
        <w:sz w:val="22"/>
        <w:szCs w:val="22"/>
        <w:bdr w:val="nil"/>
        <w:lang w:val="en-US" w:eastAsia="en-US"/>
      </w:rPr>
    </w:pPr>
    <w:r w:rsidRPr="00AC28B3">
      <w:rPr>
        <w:rFonts w:ascii="Humnst777 BT" w:hAnsi="Humnst777 BT"/>
        <w:b/>
        <w:color w:val="0070C0"/>
        <w:sz w:val="22"/>
        <w:szCs w:val="22"/>
        <w:bdr w:val="nil"/>
        <w:lang w:val="fr-CA" w:eastAsia="en-US"/>
      </w:rPr>
      <w:t xml:space="preserve">Quelques statistiques ferroviaires – non </w:t>
    </w:r>
    <w:r>
      <w:rPr>
        <w:rFonts w:ascii="Humnst777 BT" w:hAnsi="Humnst777 BT"/>
        <w:b/>
        <w:color w:val="0070C0"/>
        <w:sz w:val="22"/>
        <w:szCs w:val="22"/>
        <w:bdr w:val="nil"/>
        <w:lang w:val="fr-CA" w:eastAsia="en-US"/>
      </w:rPr>
      <w:t>audit</w:t>
    </w:r>
    <w:r w:rsidRPr="00AC28B3">
      <w:rPr>
        <w:rFonts w:ascii="Humnst777 BT" w:hAnsi="Humnst777 BT"/>
        <w:b/>
        <w:color w:val="0070C0"/>
        <w:sz w:val="22"/>
        <w:szCs w:val="22"/>
        <w:bdr w:val="nil"/>
        <w:lang w:val="fr-CA" w:eastAsia="en-US"/>
      </w:rPr>
      <w:t>ées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1E" w:rsidRDefault="00A40E1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95" w:rsidRPr="00047261" w:rsidRDefault="00BC398A">
    <w:pPr>
      <w:pBdr>
        <w:top w:val="nil"/>
        <w:left w:val="nil"/>
        <w:bottom w:val="nil"/>
        <w:right w:val="nil"/>
        <w:between w:val="nil"/>
        <w:bar w:val="nil"/>
      </w:pBdr>
      <w:spacing w:after="200" w:line="276" w:lineRule="auto"/>
      <w:rPr>
        <w:rFonts w:ascii="Humnst777 BT" w:eastAsia="Calibri" w:hAnsi="Humnst777 BT" w:cs="Arial"/>
        <w:b/>
        <w:color w:val="0070C0"/>
        <w:sz w:val="22"/>
        <w:szCs w:val="22"/>
        <w:bdr w:val="nil"/>
        <w:lang w:val="fr-CA" w:eastAsia="en-US"/>
      </w:rPr>
    </w:pPr>
    <w:r w:rsidRPr="00047261">
      <w:rPr>
        <w:rFonts w:ascii="Humnst777 BT" w:eastAsia="Calibri" w:hAnsi="Humnst777 BT" w:cs="Arial"/>
        <w:b/>
        <w:color w:val="0070C0"/>
        <w:sz w:val="22"/>
        <w:szCs w:val="22"/>
        <w:bdr w:val="nil"/>
        <w:lang w:val="fr-CA" w:eastAsia="en-US"/>
      </w:rPr>
      <w:t xml:space="preserve">Renseignements complémentaires – non </w:t>
    </w:r>
    <w:r>
      <w:rPr>
        <w:rFonts w:ascii="Humnst777 BT" w:eastAsia="Calibri" w:hAnsi="Humnst777 BT" w:cs="Arial"/>
        <w:b/>
        <w:color w:val="0070C0"/>
        <w:sz w:val="22"/>
        <w:szCs w:val="22"/>
        <w:bdr w:val="nil"/>
        <w:lang w:val="fr-CA" w:eastAsia="en-US"/>
      </w:rPr>
      <w:t>audit</w:t>
    </w:r>
    <w:r w:rsidRPr="00047261">
      <w:rPr>
        <w:rFonts w:ascii="Humnst777 BT" w:eastAsia="Calibri" w:hAnsi="Humnst777 BT" w:cs="Arial"/>
        <w:b/>
        <w:color w:val="0070C0"/>
        <w:sz w:val="22"/>
        <w:szCs w:val="22"/>
        <w:bdr w:val="nil"/>
        <w:lang w:val="fr-CA" w:eastAsia="en-US"/>
      </w:rPr>
      <w:t>és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95" w:rsidRPr="00047261" w:rsidRDefault="00BC398A">
    <w:pPr>
      <w:pBdr>
        <w:top w:val="nil"/>
        <w:left w:val="nil"/>
        <w:bottom w:val="nil"/>
        <w:right w:val="nil"/>
        <w:between w:val="nil"/>
        <w:bar w:val="nil"/>
      </w:pBdr>
      <w:spacing w:after="200" w:line="276" w:lineRule="auto"/>
      <w:rPr>
        <w:rFonts w:ascii="Humnst777 BT" w:eastAsia="Calibri" w:hAnsi="Humnst777 BT" w:cs="Arial"/>
        <w:b/>
        <w:color w:val="0070C0"/>
        <w:sz w:val="22"/>
        <w:szCs w:val="22"/>
        <w:bdr w:val="nil"/>
        <w:lang w:val="fr-CA" w:eastAsia="en-US"/>
      </w:rPr>
    </w:pPr>
    <w:r w:rsidRPr="00047261">
      <w:rPr>
        <w:rFonts w:ascii="Humnst777 BT" w:eastAsia="Calibri" w:hAnsi="Humnst777 BT" w:cs="Arial"/>
        <w:b/>
        <w:color w:val="0070C0"/>
        <w:sz w:val="22"/>
        <w:szCs w:val="22"/>
        <w:bdr w:val="nil"/>
        <w:lang w:val="fr-CA" w:eastAsia="en-US"/>
      </w:rPr>
      <w:t>Renseigneme</w:t>
    </w:r>
    <w:r w:rsidRPr="00047261">
      <w:rPr>
        <w:rFonts w:ascii="Humnst777 BT" w:eastAsia="Calibri" w:hAnsi="Humnst777 BT" w:cs="Arial"/>
        <w:b/>
        <w:color w:val="0070C0"/>
        <w:sz w:val="22"/>
        <w:szCs w:val="22"/>
        <w:bdr w:val="nil"/>
        <w:lang w:val="fr-CA" w:eastAsia="en-US"/>
      </w:rPr>
      <w:t xml:space="preserve">nts complémentaires – non </w:t>
    </w:r>
    <w:r>
      <w:rPr>
        <w:rFonts w:ascii="Humnst777 BT" w:eastAsia="Calibri" w:hAnsi="Humnst777 BT" w:cs="Arial"/>
        <w:b/>
        <w:color w:val="0070C0"/>
        <w:sz w:val="22"/>
        <w:szCs w:val="22"/>
        <w:bdr w:val="nil"/>
        <w:lang w:val="fr-CA" w:eastAsia="en-US"/>
      </w:rPr>
      <w:t>audit</w:t>
    </w:r>
    <w:r w:rsidRPr="00047261">
      <w:rPr>
        <w:rFonts w:ascii="Humnst777 BT" w:eastAsia="Calibri" w:hAnsi="Humnst777 BT" w:cs="Arial"/>
        <w:b/>
        <w:color w:val="0070C0"/>
        <w:sz w:val="22"/>
        <w:szCs w:val="22"/>
        <w:bdr w:val="nil"/>
        <w:lang w:val="fr-CA" w:eastAsia="en-US"/>
      </w:rPr>
      <w:t>és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1E" w:rsidRDefault="00A40E1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11" w:rsidRPr="00B14A60" w:rsidRDefault="00BC398A" w:rsidP="00FC1411">
    <w:pPr>
      <w:pBdr>
        <w:top w:val="nil"/>
        <w:left w:val="nil"/>
        <w:bottom w:val="nil"/>
        <w:right w:val="nil"/>
        <w:between w:val="nil"/>
        <w:bar w:val="nil"/>
      </w:pBdr>
      <w:rPr>
        <w:rFonts w:ascii="Frutiger 57Cn" w:eastAsia="Frutiger 57Cn" w:hAnsi="Frutiger 57Cn" w:cs="Frutiger 57Cn"/>
        <w:color w:val="0070C0"/>
        <w:sz w:val="22"/>
        <w:szCs w:val="22"/>
        <w:bdr w:val="nil"/>
        <w:lang w:val="fr-CA" w:eastAsia="en-US"/>
      </w:rPr>
    </w:pPr>
    <w:r w:rsidRPr="00B14A60">
      <w:rPr>
        <w:rFonts w:ascii="Humnst777 BT" w:eastAsia="Frutiger 57Cn" w:hAnsi="Humnst777 BT" w:cs="Frutiger 57Cn"/>
        <w:b/>
        <w:iCs/>
        <w:color w:val="0070C0"/>
        <w:sz w:val="22"/>
        <w:szCs w:val="22"/>
        <w:bdr w:val="nil"/>
        <w:lang w:val="fr-CA" w:eastAsia="en-US"/>
      </w:rPr>
      <w:t xml:space="preserve">Mesures de calcul non conformes aux PCGR – non </w:t>
    </w:r>
    <w:r>
      <w:rPr>
        <w:rFonts w:ascii="Humnst777 BT" w:eastAsia="Frutiger 57Cn" w:hAnsi="Humnst777 BT" w:cs="Frutiger 57Cn"/>
        <w:b/>
        <w:iCs/>
        <w:color w:val="0070C0"/>
        <w:sz w:val="22"/>
        <w:szCs w:val="22"/>
        <w:bdr w:val="nil"/>
        <w:lang w:val="fr-CA" w:eastAsia="en-US"/>
      </w:rPr>
      <w:t>audit</w:t>
    </w:r>
    <w:r w:rsidRPr="00B14A60">
      <w:rPr>
        <w:rFonts w:ascii="Humnst777 BT" w:eastAsia="Frutiger 57Cn" w:hAnsi="Humnst777 BT" w:cs="Frutiger 57Cn"/>
        <w:b/>
        <w:iCs/>
        <w:color w:val="0070C0"/>
        <w:sz w:val="22"/>
        <w:szCs w:val="22"/>
        <w:bdr w:val="nil"/>
        <w:lang w:val="fr-CA" w:eastAsia="en-US"/>
      </w:rPr>
      <w:t>ées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11" w:rsidRPr="00B14A60" w:rsidRDefault="00BC398A" w:rsidP="00FC1411">
    <w:pPr>
      <w:pBdr>
        <w:top w:val="nil"/>
        <w:left w:val="nil"/>
        <w:bottom w:val="nil"/>
        <w:right w:val="nil"/>
        <w:between w:val="nil"/>
        <w:bar w:val="nil"/>
      </w:pBdr>
      <w:rPr>
        <w:rFonts w:ascii="Frutiger 57Cn" w:eastAsia="Frutiger 57Cn" w:hAnsi="Frutiger 57Cn" w:cs="Frutiger 57Cn"/>
        <w:color w:val="0070C0"/>
        <w:sz w:val="22"/>
        <w:szCs w:val="22"/>
        <w:bdr w:val="nil"/>
        <w:lang w:val="fr-CA" w:eastAsia="en-US"/>
      </w:rPr>
    </w:pPr>
    <w:r w:rsidRPr="00B14A60">
      <w:rPr>
        <w:rFonts w:ascii="Humnst777 BT" w:eastAsia="Frutiger 57Cn" w:hAnsi="Humnst777 BT" w:cs="Frutiger 57Cn"/>
        <w:b/>
        <w:iCs/>
        <w:color w:val="0070C0"/>
        <w:sz w:val="22"/>
        <w:szCs w:val="22"/>
        <w:bdr w:val="nil"/>
        <w:lang w:val="fr-CA" w:eastAsia="en-US"/>
      </w:rPr>
      <w:t xml:space="preserve">Mesures de calcul non conformes aux PCGR – non </w:t>
    </w:r>
    <w:r>
      <w:rPr>
        <w:rFonts w:ascii="Humnst777 BT" w:eastAsia="Frutiger 57Cn" w:hAnsi="Humnst777 BT" w:cs="Frutiger 57Cn"/>
        <w:b/>
        <w:iCs/>
        <w:color w:val="0070C0"/>
        <w:sz w:val="22"/>
        <w:szCs w:val="22"/>
        <w:bdr w:val="nil"/>
        <w:lang w:val="fr-CA" w:eastAsia="en-US"/>
      </w:rPr>
      <w:t>audit</w:t>
    </w:r>
    <w:r w:rsidRPr="00B14A60">
      <w:rPr>
        <w:rFonts w:ascii="Humnst777 BT" w:eastAsia="Frutiger 57Cn" w:hAnsi="Humnst777 BT" w:cs="Frutiger 57Cn"/>
        <w:b/>
        <w:iCs/>
        <w:color w:val="0070C0"/>
        <w:sz w:val="22"/>
        <w:szCs w:val="22"/>
        <w:bdr w:val="nil"/>
        <w:lang w:val="fr-CA" w:eastAsia="en-US"/>
      </w:rPr>
      <w:t>ées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1E" w:rsidRDefault="00A40E1E">
    <w:pPr>
      <w:pBdr>
        <w:top w:val="nil"/>
        <w:left w:val="nil"/>
        <w:bottom w:val="nil"/>
        <w:right w:val="nil"/>
        <w:between w:val="nil"/>
        <w:bar w:val="nil"/>
      </w:pBdr>
      <w:spacing w:after="200" w:line="276" w:lineRule="auto"/>
      <w:rPr>
        <w:rFonts w:ascii="Calibri" w:eastAsia="Calibri" w:hAnsi="Calibri" w:cs="Arial"/>
        <w:sz w:val="22"/>
        <w:szCs w:val="22"/>
        <w:bdr w:val="nil"/>
        <w:lang w:val="en-US"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E"/>
    <w:rsid w:val="00A40E1E"/>
    <w:rsid w:val="00BC3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71F14-FAA7-4B44-BE16-F3632B27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C78E0"/>
    <w:pPr>
      <w:keepNext/>
      <w:spacing w:line="260" w:lineRule="exact"/>
      <w:outlineLvl w:val="0"/>
    </w:pPr>
    <w:rPr>
      <w:rFonts w:ascii="Humnst777 BT" w:hAnsi="Humnst777 BT"/>
      <w:i/>
      <w:iCs/>
      <w:sz w:val="17"/>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DMRange1">
    <w:name w:val="CDM Range 1"/>
    <w:basedOn w:val="TableNormal"/>
    <w:next w:val="TableNormal"/>
    <w:semiHidden/>
    <w:tblPr/>
  </w:style>
  <w:style w:type="paragraph" w:customStyle="1" w:styleId="Normal43">
    <w:name w:val="Normal_43"/>
    <w:qFormat/>
    <w:rsid w:val="00951349"/>
    <w:rPr>
      <w:sz w:val="24"/>
      <w:szCs w:val="24"/>
    </w:rPr>
  </w:style>
  <w:style w:type="table" w:customStyle="1" w:styleId="CDMRange2">
    <w:name w:val="CDM Range 2"/>
    <w:basedOn w:val="TableNormal"/>
    <w:next w:val="TableNormal"/>
    <w:semiHidden/>
    <w:tblPr/>
  </w:style>
  <w:style w:type="paragraph" w:styleId="BodyText2">
    <w:name w:val="Body Text 2"/>
    <w:basedOn w:val="Normal"/>
    <w:link w:val="BodyText2Char"/>
    <w:unhideWhenUsed/>
    <w:rsid w:val="005964D5"/>
    <w:pPr>
      <w:tabs>
        <w:tab w:val="left" w:pos="149"/>
        <w:tab w:val="left" w:pos="331"/>
        <w:tab w:val="left" w:pos="5669"/>
        <w:tab w:val="left" w:pos="7176"/>
        <w:tab w:val="left" w:pos="8371"/>
        <w:tab w:val="left" w:pos="9547"/>
        <w:tab w:val="left" w:pos="10560"/>
        <w:tab w:val="left" w:pos="10699"/>
      </w:tabs>
      <w:jc w:val="both"/>
    </w:pPr>
    <w:rPr>
      <w:rFonts w:ascii="Humnst777 BT" w:hAnsi="Humnst777 BT"/>
      <w:sz w:val="18"/>
      <w:szCs w:val="20"/>
      <w:lang w:val="fr-CA" w:eastAsia="fr-CA" w:bidi="fr-CA"/>
    </w:rPr>
  </w:style>
  <w:style w:type="character" w:customStyle="1" w:styleId="BodyText2Char">
    <w:name w:val="Body Text 2 Char"/>
    <w:basedOn w:val="DefaultParagraphFont"/>
    <w:link w:val="BodyText2"/>
    <w:rsid w:val="005964D5"/>
    <w:rPr>
      <w:rFonts w:ascii="Humnst777 BT" w:eastAsia="Times New Roman" w:hAnsi="Humnst777 BT" w:cs="Times New Roman"/>
      <w:sz w:val="18"/>
      <w:szCs w:val="20"/>
      <w:lang w:val="fr-CA" w:eastAsia="fr-CA" w:bidi="fr-CA"/>
    </w:rPr>
  </w:style>
  <w:style w:type="paragraph" w:customStyle="1" w:styleId="BodyText20">
    <w:name w:val="Body Text 2_0"/>
    <w:basedOn w:val="Normal"/>
    <w:link w:val="BodyText2Char0"/>
    <w:rsid w:val="00ED577F"/>
    <w:pPr>
      <w:tabs>
        <w:tab w:val="left" w:pos="149"/>
        <w:tab w:val="left" w:pos="331"/>
        <w:tab w:val="left" w:pos="5669"/>
        <w:tab w:val="left" w:pos="7176"/>
        <w:tab w:val="left" w:pos="8371"/>
        <w:tab w:val="left" w:pos="9547"/>
        <w:tab w:val="left" w:pos="10560"/>
        <w:tab w:val="left" w:pos="10699"/>
      </w:tabs>
      <w:jc w:val="both"/>
    </w:pPr>
    <w:rPr>
      <w:rFonts w:ascii="Humnst777 BT" w:hAnsi="Humnst777 BT"/>
      <w:sz w:val="18"/>
      <w:szCs w:val="20"/>
      <w:lang w:val="en-US" w:eastAsia="en-US"/>
    </w:rPr>
  </w:style>
  <w:style w:type="character" w:customStyle="1" w:styleId="BodyText2Char0">
    <w:name w:val="Body Text 2 Char_0"/>
    <w:basedOn w:val="DefaultParagraphFont"/>
    <w:link w:val="BodyText20"/>
    <w:locked/>
    <w:rsid w:val="00ED577F"/>
    <w:rPr>
      <w:rFonts w:ascii="Humnst777 BT" w:eastAsia="Times New Roman" w:hAnsi="Humnst777 BT" w:cs="Times New Roman"/>
      <w:sz w:val="18"/>
      <w:szCs w:val="20"/>
    </w:rPr>
  </w:style>
  <w:style w:type="paragraph" w:customStyle="1" w:styleId="BodyText28">
    <w:name w:val="Body Text 2_8"/>
    <w:basedOn w:val="Normal"/>
    <w:rsid w:val="001A5C79"/>
    <w:pPr>
      <w:tabs>
        <w:tab w:val="left" w:pos="149"/>
        <w:tab w:val="left" w:pos="331"/>
        <w:tab w:val="left" w:pos="5669"/>
        <w:tab w:val="left" w:pos="7176"/>
        <w:tab w:val="left" w:pos="8371"/>
        <w:tab w:val="left" w:pos="9547"/>
        <w:tab w:val="left" w:pos="10560"/>
        <w:tab w:val="left" w:pos="10699"/>
      </w:tabs>
      <w:jc w:val="both"/>
    </w:pPr>
    <w:rPr>
      <w:rFonts w:ascii="Humnst777 BT" w:hAnsi="Humnst777 BT"/>
      <w:sz w:val="18"/>
      <w:szCs w:val="20"/>
      <w:lang w:val="fr-CA" w:eastAsia="fr-CA" w:bidi="fr-CA"/>
    </w:rPr>
  </w:style>
  <w:style w:type="paragraph" w:customStyle="1" w:styleId="Normal49">
    <w:name w:val="Normal_49"/>
    <w:qFormat/>
    <w:rsid w:val="001A5C79"/>
    <w:rPr>
      <w:sz w:val="24"/>
      <w:szCs w:val="24"/>
      <w:lang w:val="fr-CA" w:eastAsia="fr-CA" w:bidi="fr-CA"/>
    </w:rPr>
  </w:style>
  <w:style w:type="paragraph" w:customStyle="1" w:styleId="Body">
    <w:name w:val="Body"/>
    <w:rsid w:val="008211F7"/>
    <w:pPr>
      <w:tabs>
        <w:tab w:val="left" w:pos="300"/>
      </w:tabs>
      <w:overflowPunct w:val="0"/>
      <w:autoSpaceDE w:val="0"/>
      <w:autoSpaceDN w:val="0"/>
      <w:adjustRightInd w:val="0"/>
      <w:spacing w:line="260" w:lineRule="atLeast"/>
    </w:pPr>
    <w:rPr>
      <w:rFonts w:ascii="Frutiger 57Cn" w:hAnsi="Frutiger 57Cn"/>
      <w:sz w:val="18"/>
      <w:lang w:val="fr-CA" w:eastAsia="fr-CA" w:bidi="fr-CA"/>
    </w:rPr>
  </w:style>
  <w:style w:type="character" w:customStyle="1" w:styleId="Heading1Char">
    <w:name w:val="Heading 1 Char"/>
    <w:basedOn w:val="DefaultParagraphFont"/>
    <w:link w:val="Heading1"/>
    <w:rsid w:val="004C78E0"/>
    <w:rPr>
      <w:rFonts w:ascii="Humnst777 BT" w:eastAsia="Times New Roman" w:hAnsi="Humnst777 BT" w:cs="Times New Roman"/>
      <w:i/>
      <w:iCs/>
      <w:sz w:val="17"/>
      <w:szCs w:val="24"/>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Lavleen Nanda</dc:creator>
  <cp:lastModifiedBy>Lavleen Nanda</cp:lastModifiedBy>
  <cp:revision>2</cp:revision>
  <dcterms:created xsi:type="dcterms:W3CDTF">2018-04-19T20:56:00Z</dcterms:created>
  <dcterms:modified xsi:type="dcterms:W3CDTF">2018-04-19T20:56:00Z</dcterms:modified>
</cp:coreProperties>
</file>