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F355E" w14:textId="2DBFE663" w:rsidR="0020135C" w:rsidRPr="007C370C" w:rsidRDefault="00D616AB" w:rsidP="00BB76FD">
      <w:pPr>
        <w:jc w:val="center"/>
        <w:rPr>
          <w:rFonts w:ascii="Calibri" w:hAnsi="Calibri"/>
          <w:sz w:val="22"/>
        </w:rPr>
      </w:pPr>
      <w:bookmarkStart w:id="0" w:name="_GoBack"/>
      <w:bookmarkEnd w:id="0"/>
      <w:r w:rsidRPr="007C370C">
        <w:rPr>
          <w:rFonts w:ascii="Calibri" w:hAnsi="Calibri"/>
          <w:noProof/>
          <w:sz w:val="22"/>
          <w:lang w:eastAsia="zh-CN"/>
        </w:rPr>
        <w:drawing>
          <wp:inline distT="0" distB="0" distL="0" distR="0" wp14:anchorId="2F1DCC58" wp14:editId="253506B7">
            <wp:extent cx="2066544" cy="1408176"/>
            <wp:effectExtent l="0" t="0" r="0" b="1905"/>
            <wp:docPr id="4" name="Picture 4" descr="C:\Users\jrb.DAVISLLP\Filesite\NRPortbl\FirmDocs\JRB\25223591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b.DAVISLLP\Filesite\NRPortbl\FirmDocs\JRB\25223591_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544" cy="1408176"/>
                    </a:xfrm>
                    <a:prstGeom prst="rect">
                      <a:avLst/>
                    </a:prstGeom>
                    <a:noFill/>
                    <a:ln>
                      <a:noFill/>
                    </a:ln>
                  </pic:spPr>
                </pic:pic>
              </a:graphicData>
            </a:graphic>
          </wp:inline>
        </w:drawing>
      </w:r>
    </w:p>
    <w:p w14:paraId="795F3B66" w14:textId="77777777" w:rsidR="0020135C" w:rsidRPr="007C370C" w:rsidRDefault="0020135C">
      <w:pPr>
        <w:rPr>
          <w:rFonts w:ascii="Calibri" w:hAnsi="Calibri" w:cs="Times New Roman"/>
          <w:b/>
          <w:sz w:val="22"/>
        </w:rPr>
      </w:pPr>
    </w:p>
    <w:p w14:paraId="5576B99B" w14:textId="77777777" w:rsidR="008F6D5C" w:rsidRDefault="00D616AB" w:rsidP="00967F98">
      <w:pPr>
        <w:jc w:val="center"/>
        <w:rPr>
          <w:rFonts w:ascii="Calibri" w:hAnsi="Calibri" w:cs="Times New Roman"/>
          <w:b/>
          <w:sz w:val="22"/>
        </w:rPr>
      </w:pPr>
      <w:r w:rsidRPr="007C370C">
        <w:rPr>
          <w:rFonts w:ascii="Calibri" w:hAnsi="Calibri" w:cs="Times New Roman"/>
          <w:b/>
          <w:sz w:val="22"/>
        </w:rPr>
        <w:t xml:space="preserve">NEW STRATUS ENERGY </w:t>
      </w:r>
      <w:r w:rsidR="00B2696A" w:rsidRPr="007C370C">
        <w:rPr>
          <w:rFonts w:ascii="Calibri" w:hAnsi="Calibri" w:cs="Times New Roman"/>
          <w:b/>
          <w:sz w:val="22"/>
        </w:rPr>
        <w:t xml:space="preserve">ANNOUNCES </w:t>
      </w:r>
      <w:r w:rsidRPr="007C370C">
        <w:rPr>
          <w:rFonts w:ascii="Calibri" w:hAnsi="Calibri" w:cs="Times New Roman"/>
          <w:b/>
          <w:sz w:val="22"/>
        </w:rPr>
        <w:t>PROPOSED ACQUISITION</w:t>
      </w:r>
      <w:r w:rsidR="008F6D5C">
        <w:rPr>
          <w:rFonts w:ascii="Calibri" w:hAnsi="Calibri" w:cs="Times New Roman"/>
          <w:b/>
          <w:sz w:val="22"/>
        </w:rPr>
        <w:t xml:space="preserve"> AND </w:t>
      </w:r>
    </w:p>
    <w:p w14:paraId="46BB4B65" w14:textId="77777777" w:rsidR="0020135C" w:rsidRDefault="008F6D5C" w:rsidP="00967F98">
      <w:pPr>
        <w:jc w:val="center"/>
        <w:rPr>
          <w:rFonts w:ascii="Calibri" w:hAnsi="Calibri" w:cs="Times New Roman"/>
          <w:b/>
          <w:sz w:val="22"/>
        </w:rPr>
      </w:pPr>
      <w:r>
        <w:rPr>
          <w:rFonts w:ascii="Calibri" w:hAnsi="Calibri" w:cs="Times New Roman"/>
          <w:b/>
          <w:sz w:val="22"/>
        </w:rPr>
        <w:t>PRIVATE PLACEMENT OFFERING OF SUBSCRIPTION RECEIPTS</w:t>
      </w:r>
    </w:p>
    <w:p w14:paraId="1A484499" w14:textId="77777777" w:rsidR="00AB38DD" w:rsidRDefault="00AB38DD" w:rsidP="00967F98">
      <w:pPr>
        <w:jc w:val="center"/>
        <w:rPr>
          <w:rFonts w:ascii="Calibri" w:hAnsi="Calibri" w:cs="Times New Roman"/>
          <w:b/>
          <w:sz w:val="22"/>
        </w:rPr>
      </w:pPr>
    </w:p>
    <w:p w14:paraId="617C726E" w14:textId="77777777" w:rsidR="00AB38DD" w:rsidRPr="00AB38DD" w:rsidRDefault="00AB38DD" w:rsidP="00967F98">
      <w:pPr>
        <w:jc w:val="center"/>
        <w:rPr>
          <w:rFonts w:ascii="Calibri" w:hAnsi="Calibri" w:cs="Times New Roman"/>
          <w:b/>
          <w:sz w:val="22"/>
        </w:rPr>
      </w:pPr>
      <w:r w:rsidRPr="00AB38DD">
        <w:rPr>
          <w:rFonts w:ascii="Calibri" w:hAnsi="Calibri" w:cs="Times New Roman"/>
          <w:b/>
          <w:sz w:val="22"/>
        </w:rPr>
        <w:t>NOT FOR DISSEMINATION IN THE UNITED STATES OR FOR DISTRIBUTION BY ANY UNITED STATES NEWS DISTRIBUTION SERVICE</w:t>
      </w:r>
    </w:p>
    <w:p w14:paraId="7E3EBF6C" w14:textId="77777777" w:rsidR="0020135C" w:rsidRPr="007C370C" w:rsidRDefault="0020135C" w:rsidP="00967F98">
      <w:pPr>
        <w:jc w:val="center"/>
        <w:rPr>
          <w:rFonts w:ascii="Calibri" w:hAnsi="Calibri" w:cs="Times New Roman"/>
          <w:b/>
          <w:sz w:val="22"/>
        </w:rPr>
      </w:pPr>
    </w:p>
    <w:p w14:paraId="48428DCA" w14:textId="77777777" w:rsidR="0020135C" w:rsidRPr="007C370C" w:rsidRDefault="00B2696A" w:rsidP="00967F98">
      <w:pPr>
        <w:jc w:val="center"/>
        <w:rPr>
          <w:rFonts w:ascii="Calibri" w:hAnsi="Calibri" w:cs="Times New Roman"/>
          <w:b/>
          <w:sz w:val="22"/>
        </w:rPr>
      </w:pPr>
      <w:r w:rsidRPr="007C370C">
        <w:rPr>
          <w:rFonts w:ascii="Calibri" w:hAnsi="Calibri" w:cs="Times New Roman"/>
          <w:b/>
          <w:sz w:val="22"/>
        </w:rPr>
        <w:t>News Release</w:t>
      </w:r>
    </w:p>
    <w:p w14:paraId="3C466C74" w14:textId="77777777" w:rsidR="0020135C" w:rsidRPr="007C370C" w:rsidRDefault="0020135C" w:rsidP="00967F98">
      <w:pPr>
        <w:jc w:val="both"/>
        <w:rPr>
          <w:rFonts w:ascii="Calibri" w:hAnsi="Calibri" w:cs="Times New Roman"/>
          <w:sz w:val="22"/>
        </w:rPr>
      </w:pPr>
    </w:p>
    <w:p w14:paraId="74BB7175" w14:textId="3B81F7F4" w:rsidR="00D616AB" w:rsidRDefault="00D616AB" w:rsidP="00967F98">
      <w:pPr>
        <w:shd w:val="clear" w:color="auto" w:fill="FFFFFF"/>
        <w:jc w:val="both"/>
        <w:rPr>
          <w:rFonts w:ascii="Calibri" w:hAnsi="Calibri" w:cs="Times New Roman"/>
          <w:sz w:val="22"/>
        </w:rPr>
      </w:pPr>
      <w:r w:rsidRPr="007C370C">
        <w:rPr>
          <w:rFonts w:ascii="Calibri" w:hAnsi="Calibri" w:cs="Times New Roman"/>
          <w:b/>
          <w:sz w:val="22"/>
        </w:rPr>
        <w:t>Calgary</w:t>
      </w:r>
      <w:r w:rsidR="00B2696A" w:rsidRPr="007C370C">
        <w:rPr>
          <w:rFonts w:ascii="Calibri" w:hAnsi="Calibri" w:cs="Times New Roman"/>
          <w:b/>
          <w:sz w:val="22"/>
        </w:rPr>
        <w:t xml:space="preserve">, </w:t>
      </w:r>
      <w:r w:rsidRPr="007C370C">
        <w:rPr>
          <w:rFonts w:ascii="Calibri" w:hAnsi="Calibri" w:cs="Times New Roman"/>
          <w:b/>
          <w:sz w:val="22"/>
        </w:rPr>
        <w:t>Alberta</w:t>
      </w:r>
      <w:r w:rsidR="00B2696A" w:rsidRPr="007C370C">
        <w:rPr>
          <w:rFonts w:ascii="Calibri" w:hAnsi="Calibri" w:cs="Times New Roman"/>
          <w:b/>
          <w:sz w:val="22"/>
        </w:rPr>
        <w:t xml:space="preserve">, </w:t>
      </w:r>
      <w:r w:rsidR="003F6FDE" w:rsidRPr="007C370C">
        <w:rPr>
          <w:rFonts w:ascii="Calibri" w:hAnsi="Calibri" w:cs="Times New Roman"/>
          <w:b/>
          <w:sz w:val="22"/>
        </w:rPr>
        <w:t>May</w:t>
      </w:r>
      <w:r w:rsidRPr="007C370C">
        <w:rPr>
          <w:rFonts w:ascii="Calibri" w:hAnsi="Calibri" w:cs="Times New Roman"/>
          <w:b/>
          <w:sz w:val="22"/>
        </w:rPr>
        <w:t xml:space="preserve"> </w:t>
      </w:r>
      <w:r w:rsidR="000F45C6">
        <w:rPr>
          <w:rFonts w:ascii="Calibri" w:hAnsi="Calibri" w:cs="Times New Roman"/>
          <w:b/>
          <w:sz w:val="22"/>
        </w:rPr>
        <w:t>3</w:t>
      </w:r>
      <w:r w:rsidR="006A2CB3">
        <w:rPr>
          <w:rFonts w:ascii="Calibri" w:hAnsi="Calibri" w:cs="Times New Roman"/>
          <w:b/>
          <w:sz w:val="22"/>
        </w:rPr>
        <w:t>1</w:t>
      </w:r>
      <w:r w:rsidR="00B2696A" w:rsidRPr="007C370C">
        <w:rPr>
          <w:rFonts w:ascii="Calibri" w:hAnsi="Calibri" w:cs="Times New Roman"/>
          <w:b/>
          <w:sz w:val="22"/>
        </w:rPr>
        <w:t>, 201</w:t>
      </w:r>
      <w:r w:rsidR="003F6FDE" w:rsidRPr="007C370C">
        <w:rPr>
          <w:rFonts w:ascii="Calibri" w:hAnsi="Calibri" w:cs="Times New Roman"/>
          <w:b/>
          <w:sz w:val="22"/>
        </w:rPr>
        <w:t>8</w:t>
      </w:r>
      <w:r w:rsidR="00B2696A" w:rsidRPr="007C370C">
        <w:rPr>
          <w:rFonts w:ascii="Calibri" w:hAnsi="Calibri" w:cs="Times New Roman"/>
          <w:b/>
          <w:sz w:val="22"/>
        </w:rPr>
        <w:t xml:space="preserve"> – </w:t>
      </w:r>
      <w:r w:rsidRPr="007C370C">
        <w:rPr>
          <w:rFonts w:ascii="Calibri" w:hAnsi="Calibri" w:cs="Times New Roman"/>
          <w:b/>
          <w:sz w:val="22"/>
        </w:rPr>
        <w:t>New Stratus Energy Inc. (TSX.V - NSE</w:t>
      </w:r>
      <w:r w:rsidR="00B2696A" w:rsidRPr="007C370C">
        <w:rPr>
          <w:rFonts w:ascii="Calibri" w:hAnsi="Calibri" w:cs="Times New Roman"/>
          <w:b/>
          <w:sz w:val="22"/>
        </w:rPr>
        <w:t xml:space="preserve">) </w:t>
      </w:r>
      <w:r w:rsidR="00B2696A" w:rsidRPr="007C370C">
        <w:rPr>
          <w:rFonts w:ascii="Calibri" w:hAnsi="Calibri" w:cs="Times New Roman"/>
          <w:sz w:val="22"/>
        </w:rPr>
        <w:t>(</w:t>
      </w:r>
      <w:r w:rsidR="00BD7FA6">
        <w:rPr>
          <w:rFonts w:ascii="Calibri" w:hAnsi="Calibri" w:cs="Times New Roman"/>
          <w:sz w:val="22"/>
        </w:rPr>
        <w:t>“</w:t>
      </w:r>
      <w:r w:rsidRPr="007C370C">
        <w:rPr>
          <w:rFonts w:ascii="Calibri" w:hAnsi="Calibri" w:cs="Times New Roman"/>
          <w:b/>
          <w:sz w:val="22"/>
        </w:rPr>
        <w:t>New Stratus</w:t>
      </w:r>
      <w:r w:rsidR="00BD7FA6">
        <w:rPr>
          <w:rFonts w:ascii="Calibri" w:hAnsi="Calibri" w:cs="Times New Roman"/>
          <w:sz w:val="22"/>
        </w:rPr>
        <w:t>”</w:t>
      </w:r>
      <w:r w:rsidR="00B2696A" w:rsidRPr="007C370C">
        <w:rPr>
          <w:rFonts w:ascii="Calibri" w:hAnsi="Calibri" w:cs="Times New Roman"/>
          <w:sz w:val="22"/>
        </w:rPr>
        <w:t xml:space="preserve"> or the </w:t>
      </w:r>
      <w:r w:rsidR="00BD7FA6">
        <w:rPr>
          <w:rFonts w:ascii="Calibri" w:hAnsi="Calibri" w:cs="Times New Roman"/>
          <w:sz w:val="22"/>
        </w:rPr>
        <w:t>“</w:t>
      </w:r>
      <w:r w:rsidR="00B2696A" w:rsidRPr="007C370C">
        <w:rPr>
          <w:rFonts w:ascii="Calibri" w:hAnsi="Calibri" w:cs="Times New Roman"/>
          <w:b/>
          <w:sz w:val="22"/>
        </w:rPr>
        <w:t>Co</w:t>
      </w:r>
      <w:r w:rsidRPr="007C370C">
        <w:rPr>
          <w:rFonts w:ascii="Calibri" w:hAnsi="Calibri" w:cs="Times New Roman"/>
          <w:b/>
          <w:sz w:val="22"/>
        </w:rPr>
        <w:t>rporation</w:t>
      </w:r>
      <w:r w:rsidR="00BD7FA6">
        <w:rPr>
          <w:rFonts w:ascii="Calibri" w:hAnsi="Calibri" w:cs="Times New Roman"/>
          <w:sz w:val="22"/>
        </w:rPr>
        <w:t>”</w:t>
      </w:r>
      <w:r w:rsidR="00B2696A" w:rsidRPr="007C370C">
        <w:rPr>
          <w:rFonts w:ascii="Calibri" w:hAnsi="Calibri" w:cs="Times New Roman"/>
          <w:sz w:val="22"/>
        </w:rPr>
        <w:t xml:space="preserve">) </w:t>
      </w:r>
      <w:r w:rsidRPr="007C370C">
        <w:rPr>
          <w:rFonts w:ascii="Calibri" w:hAnsi="Calibri" w:cs="Times New Roman"/>
          <w:sz w:val="22"/>
        </w:rPr>
        <w:t>is p</w:t>
      </w:r>
      <w:r w:rsidR="00531538" w:rsidRPr="007C370C">
        <w:rPr>
          <w:rFonts w:ascii="Calibri" w:hAnsi="Calibri" w:cs="Times New Roman"/>
          <w:sz w:val="22"/>
        </w:rPr>
        <w:t xml:space="preserve">leased to announce that it </w:t>
      </w:r>
      <w:r w:rsidR="000F45C6">
        <w:rPr>
          <w:rFonts w:ascii="Calibri" w:hAnsi="Calibri" w:cs="Times New Roman"/>
          <w:sz w:val="22"/>
        </w:rPr>
        <w:t xml:space="preserve">has </w:t>
      </w:r>
      <w:r w:rsidRPr="007C370C">
        <w:rPr>
          <w:rFonts w:ascii="Calibri" w:hAnsi="Calibri" w:cs="Times New Roman"/>
          <w:sz w:val="22"/>
        </w:rPr>
        <w:t xml:space="preserve">entered into </w:t>
      </w:r>
      <w:r w:rsidR="00777751">
        <w:rPr>
          <w:rFonts w:ascii="Calibri" w:hAnsi="Calibri" w:cs="Times New Roman"/>
          <w:sz w:val="22"/>
        </w:rPr>
        <w:t xml:space="preserve">a binding </w:t>
      </w:r>
      <w:r w:rsidR="00B6646D" w:rsidRPr="007C370C">
        <w:rPr>
          <w:rFonts w:ascii="Calibri" w:hAnsi="Calibri" w:cs="Times New Roman"/>
          <w:sz w:val="22"/>
        </w:rPr>
        <w:t>letter of intent</w:t>
      </w:r>
      <w:r w:rsidRPr="007C370C">
        <w:rPr>
          <w:rFonts w:ascii="Calibri" w:hAnsi="Calibri" w:cs="Times New Roman"/>
          <w:sz w:val="22"/>
        </w:rPr>
        <w:t xml:space="preserve"> </w:t>
      </w:r>
      <w:r w:rsidR="007A0B52" w:rsidRPr="007C370C">
        <w:rPr>
          <w:rFonts w:ascii="Calibri" w:hAnsi="Calibri" w:cs="Times New Roman"/>
          <w:sz w:val="22"/>
        </w:rPr>
        <w:t xml:space="preserve">(the </w:t>
      </w:r>
      <w:r w:rsidR="00BD7FA6">
        <w:rPr>
          <w:rFonts w:ascii="Calibri" w:hAnsi="Calibri" w:cs="Times New Roman"/>
          <w:sz w:val="22"/>
        </w:rPr>
        <w:t>“</w:t>
      </w:r>
      <w:r w:rsidR="007A0B52" w:rsidRPr="007C370C">
        <w:rPr>
          <w:rFonts w:ascii="Calibri" w:hAnsi="Calibri" w:cs="Times New Roman"/>
          <w:b/>
          <w:sz w:val="22"/>
        </w:rPr>
        <w:t>LOI</w:t>
      </w:r>
      <w:r w:rsidR="00BD7FA6">
        <w:rPr>
          <w:rFonts w:ascii="Calibri" w:hAnsi="Calibri" w:cs="Times New Roman"/>
          <w:sz w:val="22"/>
        </w:rPr>
        <w:t>”</w:t>
      </w:r>
      <w:r w:rsidR="007A0B52" w:rsidRPr="007C370C">
        <w:rPr>
          <w:rFonts w:ascii="Calibri" w:hAnsi="Calibri" w:cs="Times New Roman"/>
          <w:sz w:val="22"/>
        </w:rPr>
        <w:t xml:space="preserve">) </w:t>
      </w:r>
      <w:r w:rsidR="000704EF" w:rsidRPr="007C370C">
        <w:rPr>
          <w:rFonts w:ascii="Calibri" w:hAnsi="Calibri" w:cs="Times New Roman"/>
          <w:sz w:val="22"/>
        </w:rPr>
        <w:t xml:space="preserve">to acquire </w:t>
      </w:r>
      <w:r w:rsidR="003F6FDE" w:rsidRPr="007C370C">
        <w:rPr>
          <w:rFonts w:ascii="Calibri" w:hAnsi="Calibri" w:cs="Times New Roman"/>
          <w:sz w:val="22"/>
        </w:rPr>
        <w:t xml:space="preserve">Vetra Energia, S.L. </w:t>
      </w:r>
      <w:r w:rsidR="00B6646D" w:rsidRPr="007C370C">
        <w:rPr>
          <w:rFonts w:ascii="Calibri" w:hAnsi="Calibri" w:cs="Times New Roman"/>
          <w:sz w:val="22"/>
        </w:rPr>
        <w:t>(</w:t>
      </w:r>
      <w:r w:rsidR="00BD7FA6">
        <w:rPr>
          <w:rFonts w:ascii="Calibri" w:hAnsi="Calibri" w:cs="Times New Roman"/>
          <w:sz w:val="22"/>
        </w:rPr>
        <w:t>“</w:t>
      </w:r>
      <w:r w:rsidR="003F6FDE" w:rsidRPr="007C370C">
        <w:rPr>
          <w:rFonts w:ascii="Calibri" w:hAnsi="Calibri" w:cs="Times New Roman"/>
          <w:b/>
          <w:sz w:val="22"/>
        </w:rPr>
        <w:t>Vetra</w:t>
      </w:r>
      <w:r w:rsidR="00BD7FA6">
        <w:rPr>
          <w:rFonts w:ascii="Calibri" w:hAnsi="Calibri" w:cs="Times New Roman"/>
          <w:sz w:val="22"/>
        </w:rPr>
        <w:t>”</w:t>
      </w:r>
      <w:r w:rsidR="000704EF" w:rsidRPr="007C370C">
        <w:rPr>
          <w:rFonts w:ascii="Calibri" w:hAnsi="Calibri" w:cs="Times New Roman"/>
          <w:sz w:val="22"/>
        </w:rPr>
        <w:t xml:space="preserve">) </w:t>
      </w:r>
      <w:r w:rsidR="00B513BD" w:rsidRPr="007C370C">
        <w:rPr>
          <w:rFonts w:ascii="Calibri" w:hAnsi="Calibri" w:cs="Times New Roman"/>
          <w:sz w:val="22"/>
        </w:rPr>
        <w:t xml:space="preserve">for </w:t>
      </w:r>
      <w:r w:rsidRPr="007C370C">
        <w:rPr>
          <w:rFonts w:ascii="Calibri" w:hAnsi="Calibri" w:cs="Times New Roman"/>
          <w:sz w:val="22"/>
        </w:rPr>
        <w:t>a</w:t>
      </w:r>
      <w:r w:rsidR="003F6FDE" w:rsidRPr="007C370C">
        <w:rPr>
          <w:rFonts w:ascii="Calibri" w:hAnsi="Calibri" w:cs="Times New Roman"/>
          <w:sz w:val="22"/>
        </w:rPr>
        <w:t xml:space="preserve"> </w:t>
      </w:r>
      <w:r w:rsidR="00777751">
        <w:rPr>
          <w:rFonts w:ascii="Calibri" w:hAnsi="Calibri" w:cs="Times New Roman"/>
          <w:sz w:val="22"/>
        </w:rPr>
        <w:t>base purchase price of</w:t>
      </w:r>
      <w:r w:rsidRPr="007C370C">
        <w:rPr>
          <w:rFonts w:ascii="Calibri" w:hAnsi="Calibri" w:cs="Times New Roman"/>
          <w:sz w:val="22"/>
        </w:rPr>
        <w:t xml:space="preserve"> </w:t>
      </w:r>
      <w:r w:rsidR="00B513BD" w:rsidRPr="007C370C">
        <w:rPr>
          <w:rFonts w:ascii="Calibri" w:hAnsi="Calibri" w:cs="Times New Roman"/>
          <w:sz w:val="22"/>
        </w:rPr>
        <w:t>US</w:t>
      </w:r>
      <w:r w:rsidR="00067B71">
        <w:rPr>
          <w:rFonts w:ascii="Calibri" w:hAnsi="Calibri" w:cs="Times New Roman"/>
          <w:sz w:val="22"/>
        </w:rPr>
        <w:t>$</w:t>
      </w:r>
      <w:r w:rsidR="00777751">
        <w:rPr>
          <w:rFonts w:ascii="Calibri" w:hAnsi="Calibri" w:cs="Times New Roman"/>
          <w:sz w:val="22"/>
        </w:rPr>
        <w:t>88</w:t>
      </w:r>
      <w:r w:rsidR="00611C0C">
        <w:rPr>
          <w:rFonts w:ascii="Calibri" w:hAnsi="Calibri" w:cs="Times New Roman"/>
          <w:sz w:val="22"/>
        </w:rPr>
        <w:t>.5</w:t>
      </w:r>
      <w:r w:rsidR="003F6FDE" w:rsidRPr="007C370C">
        <w:rPr>
          <w:rFonts w:ascii="Calibri" w:hAnsi="Calibri" w:cs="Times New Roman"/>
          <w:sz w:val="22"/>
        </w:rPr>
        <w:t xml:space="preserve"> million</w:t>
      </w:r>
      <w:r w:rsidR="00274565" w:rsidRPr="007C370C">
        <w:rPr>
          <w:rFonts w:ascii="Calibri" w:hAnsi="Calibri" w:cs="Times New Roman"/>
          <w:sz w:val="22"/>
        </w:rPr>
        <w:t xml:space="preserve"> </w:t>
      </w:r>
      <w:r w:rsidR="00B6646D" w:rsidRPr="007C370C">
        <w:rPr>
          <w:rFonts w:ascii="Calibri" w:hAnsi="Calibri" w:cs="Times New Roman"/>
          <w:sz w:val="22"/>
        </w:rPr>
        <w:t xml:space="preserve">(the </w:t>
      </w:r>
      <w:r w:rsidR="00BD7FA6">
        <w:rPr>
          <w:rFonts w:ascii="Calibri" w:hAnsi="Calibri" w:cs="Times New Roman"/>
          <w:sz w:val="22"/>
        </w:rPr>
        <w:t>“</w:t>
      </w:r>
      <w:r w:rsidR="008E36AC" w:rsidRPr="008E36AC">
        <w:rPr>
          <w:rFonts w:ascii="Calibri" w:hAnsi="Calibri" w:cs="Times New Roman"/>
          <w:b/>
          <w:sz w:val="22"/>
        </w:rPr>
        <w:t>Transaction</w:t>
      </w:r>
      <w:r w:rsidR="00BD7FA6">
        <w:rPr>
          <w:rFonts w:ascii="Calibri" w:hAnsi="Calibri" w:cs="Times New Roman"/>
          <w:sz w:val="22"/>
        </w:rPr>
        <w:t>”</w:t>
      </w:r>
      <w:r w:rsidR="00B6646D" w:rsidRPr="007C370C">
        <w:rPr>
          <w:rFonts w:ascii="Calibri" w:hAnsi="Calibri" w:cs="Times New Roman"/>
          <w:sz w:val="22"/>
        </w:rPr>
        <w:t>)</w:t>
      </w:r>
      <w:r w:rsidR="00F33274" w:rsidRPr="007C370C">
        <w:rPr>
          <w:rFonts w:ascii="Calibri" w:hAnsi="Calibri" w:cs="Times New Roman"/>
          <w:sz w:val="22"/>
        </w:rPr>
        <w:t xml:space="preserve">. </w:t>
      </w:r>
      <w:r w:rsidR="001F30DB" w:rsidRPr="007C370C">
        <w:rPr>
          <w:rFonts w:ascii="Calibri" w:hAnsi="Calibri" w:cs="Times New Roman"/>
          <w:sz w:val="22"/>
        </w:rPr>
        <w:t xml:space="preserve">Vetra holds various interests in certain producing and non-producing oil and gas properties located in Colombia.  </w:t>
      </w:r>
      <w:r w:rsidRPr="007C370C">
        <w:rPr>
          <w:rFonts w:ascii="Calibri" w:hAnsi="Calibri" w:cs="Times New Roman"/>
          <w:sz w:val="22"/>
        </w:rPr>
        <w:t xml:space="preserve">Closing of the </w:t>
      </w:r>
      <w:r w:rsidR="008E36AC">
        <w:rPr>
          <w:rFonts w:ascii="Calibri" w:hAnsi="Calibri" w:cs="Times New Roman"/>
          <w:sz w:val="22"/>
        </w:rPr>
        <w:t>Transaction</w:t>
      </w:r>
      <w:r w:rsidRPr="007C370C">
        <w:rPr>
          <w:rFonts w:ascii="Calibri" w:hAnsi="Calibri" w:cs="Times New Roman"/>
          <w:sz w:val="22"/>
        </w:rPr>
        <w:t xml:space="preserve"> expected to occur </w:t>
      </w:r>
      <w:r w:rsidR="00F33274" w:rsidRPr="007C370C">
        <w:rPr>
          <w:rFonts w:ascii="Calibri" w:hAnsi="Calibri" w:cs="Times New Roman"/>
          <w:sz w:val="22"/>
        </w:rPr>
        <w:t xml:space="preserve">on or </w:t>
      </w:r>
      <w:r w:rsidR="00515BF3" w:rsidRPr="007C370C">
        <w:rPr>
          <w:rFonts w:ascii="Calibri" w:hAnsi="Calibri" w:cs="Times New Roman"/>
          <w:sz w:val="22"/>
        </w:rPr>
        <w:t>before</w:t>
      </w:r>
      <w:r w:rsidRPr="007C370C">
        <w:rPr>
          <w:rFonts w:ascii="Calibri" w:hAnsi="Calibri" w:cs="Times New Roman"/>
          <w:sz w:val="22"/>
        </w:rPr>
        <w:t xml:space="preserve"> </w:t>
      </w:r>
      <w:r w:rsidR="003F6FDE" w:rsidRPr="007C370C">
        <w:rPr>
          <w:rFonts w:ascii="Calibri" w:hAnsi="Calibri" w:cs="Times New Roman"/>
          <w:sz w:val="22"/>
        </w:rPr>
        <w:t>July</w:t>
      </w:r>
      <w:r w:rsidR="00B513BD" w:rsidRPr="007C370C">
        <w:rPr>
          <w:rFonts w:ascii="Calibri" w:hAnsi="Calibri" w:cs="Times New Roman"/>
          <w:sz w:val="22"/>
        </w:rPr>
        <w:t xml:space="preserve"> </w:t>
      </w:r>
      <w:r w:rsidR="00531538" w:rsidRPr="007C370C">
        <w:rPr>
          <w:rFonts w:ascii="Calibri" w:hAnsi="Calibri" w:cs="Times New Roman"/>
          <w:sz w:val="22"/>
        </w:rPr>
        <w:t>31</w:t>
      </w:r>
      <w:r w:rsidR="003F6FDE" w:rsidRPr="007C370C">
        <w:rPr>
          <w:rFonts w:ascii="Calibri" w:hAnsi="Calibri" w:cs="Times New Roman"/>
          <w:sz w:val="22"/>
        </w:rPr>
        <w:t>, 2018</w:t>
      </w:r>
      <w:r w:rsidR="001E78D1" w:rsidRPr="007C370C">
        <w:rPr>
          <w:rFonts w:ascii="Calibri" w:hAnsi="Calibri" w:cs="Times New Roman"/>
          <w:sz w:val="22"/>
        </w:rPr>
        <w:t>.</w:t>
      </w:r>
      <w:r w:rsidR="00BD7FA6">
        <w:rPr>
          <w:rFonts w:ascii="Calibri" w:hAnsi="Calibri" w:cs="Times New Roman"/>
          <w:sz w:val="22"/>
        </w:rPr>
        <w:t xml:space="preserve"> </w:t>
      </w:r>
    </w:p>
    <w:p w14:paraId="55FC951B" w14:textId="77777777" w:rsidR="008F6D5C" w:rsidRDefault="008F6D5C" w:rsidP="00967F98">
      <w:pPr>
        <w:shd w:val="clear" w:color="auto" w:fill="FFFFFF"/>
        <w:jc w:val="both"/>
        <w:rPr>
          <w:rFonts w:ascii="Calibri" w:hAnsi="Calibri" w:cs="Times New Roman"/>
          <w:sz w:val="22"/>
        </w:rPr>
      </w:pPr>
    </w:p>
    <w:p w14:paraId="55F11389" w14:textId="77777777" w:rsidR="007B5503" w:rsidRDefault="007B5503" w:rsidP="00967F98">
      <w:pPr>
        <w:shd w:val="clear" w:color="auto" w:fill="FFFFFF"/>
        <w:jc w:val="both"/>
        <w:rPr>
          <w:rFonts w:ascii="Calibri" w:hAnsi="Calibri" w:cs="Times New Roman"/>
          <w:sz w:val="22"/>
        </w:rPr>
      </w:pPr>
      <w:r w:rsidRPr="007B5503">
        <w:rPr>
          <w:rFonts w:ascii="Calibri" w:hAnsi="Calibri" w:cs="Times New Roman"/>
          <w:sz w:val="22"/>
        </w:rPr>
        <w:t>In co</w:t>
      </w:r>
      <w:r>
        <w:rPr>
          <w:rFonts w:ascii="Calibri" w:hAnsi="Calibri" w:cs="Times New Roman"/>
          <w:sz w:val="22"/>
        </w:rPr>
        <w:t xml:space="preserve">nnection with the Transaction, New Stratus intends to complete a brokered private placement of up to </w:t>
      </w:r>
      <w:r w:rsidR="00331C29">
        <w:rPr>
          <w:rFonts w:ascii="Calibri" w:hAnsi="Calibri" w:cs="Times New Roman"/>
          <w:sz w:val="22"/>
        </w:rPr>
        <w:t>C</w:t>
      </w:r>
      <w:r w:rsidRPr="007B5503">
        <w:rPr>
          <w:rFonts w:ascii="Calibri" w:hAnsi="Calibri" w:cs="Times New Roman"/>
          <w:sz w:val="22"/>
        </w:rPr>
        <w:t>$</w:t>
      </w:r>
      <w:r>
        <w:rPr>
          <w:rFonts w:ascii="Calibri" w:hAnsi="Calibri" w:cs="Times New Roman"/>
          <w:sz w:val="22"/>
        </w:rPr>
        <w:t>1</w:t>
      </w:r>
      <w:r w:rsidR="00067B71">
        <w:rPr>
          <w:rFonts w:ascii="Calibri" w:hAnsi="Calibri" w:cs="Times New Roman"/>
          <w:sz w:val="22"/>
        </w:rPr>
        <w:t>3</w:t>
      </w:r>
      <w:r>
        <w:rPr>
          <w:rFonts w:ascii="Calibri" w:hAnsi="Calibri" w:cs="Times New Roman"/>
          <w:sz w:val="22"/>
        </w:rPr>
        <w:t>0</w:t>
      </w:r>
      <w:r w:rsidRPr="007B5503">
        <w:rPr>
          <w:rFonts w:ascii="Calibri" w:hAnsi="Calibri" w:cs="Times New Roman"/>
          <w:sz w:val="22"/>
        </w:rPr>
        <w:t xml:space="preserve"> million </w:t>
      </w:r>
      <w:r>
        <w:rPr>
          <w:rFonts w:ascii="Calibri" w:hAnsi="Calibri" w:cs="Times New Roman"/>
          <w:sz w:val="22"/>
        </w:rPr>
        <w:t>o</w:t>
      </w:r>
      <w:r w:rsidRPr="007B5503">
        <w:rPr>
          <w:rFonts w:ascii="Calibri" w:hAnsi="Calibri" w:cs="Times New Roman"/>
          <w:sz w:val="22"/>
        </w:rPr>
        <w:t xml:space="preserve">f subscription receipts </w:t>
      </w:r>
      <w:r w:rsidR="0099701B" w:rsidRPr="008C074C">
        <w:rPr>
          <w:rFonts w:ascii="Calibri" w:hAnsi="Calibri" w:cs="Times New Roman"/>
          <w:sz w:val="22"/>
        </w:rPr>
        <w:t>(</w:t>
      </w:r>
      <w:r w:rsidR="0099701B">
        <w:rPr>
          <w:rFonts w:ascii="Calibri" w:hAnsi="Calibri" w:cs="Times New Roman"/>
          <w:sz w:val="22"/>
        </w:rPr>
        <w:t>“</w:t>
      </w:r>
      <w:r w:rsidR="0099701B" w:rsidRPr="008C074C">
        <w:rPr>
          <w:rFonts w:ascii="Calibri" w:hAnsi="Calibri" w:cs="Times New Roman"/>
          <w:b/>
          <w:sz w:val="22"/>
        </w:rPr>
        <w:t>Subscription Receipts</w:t>
      </w:r>
      <w:r w:rsidR="0099701B">
        <w:rPr>
          <w:rFonts w:ascii="Calibri" w:hAnsi="Calibri" w:cs="Times New Roman"/>
          <w:sz w:val="22"/>
        </w:rPr>
        <w:t>”</w:t>
      </w:r>
      <w:r w:rsidR="0099701B" w:rsidRPr="008C074C">
        <w:rPr>
          <w:rFonts w:ascii="Calibri" w:hAnsi="Calibri" w:cs="Times New Roman"/>
          <w:sz w:val="22"/>
        </w:rPr>
        <w:t xml:space="preserve">) </w:t>
      </w:r>
      <w:r w:rsidRPr="007B5503">
        <w:rPr>
          <w:rFonts w:ascii="Calibri" w:hAnsi="Calibri" w:cs="Times New Roman"/>
          <w:sz w:val="22"/>
        </w:rPr>
        <w:t xml:space="preserve">at a price of </w:t>
      </w:r>
      <w:r w:rsidR="00331C29">
        <w:rPr>
          <w:rFonts w:ascii="Calibri" w:hAnsi="Calibri" w:cs="Times New Roman"/>
          <w:sz w:val="22"/>
        </w:rPr>
        <w:t>C</w:t>
      </w:r>
      <w:r w:rsidRPr="007B5503">
        <w:rPr>
          <w:rFonts w:ascii="Calibri" w:hAnsi="Calibri" w:cs="Times New Roman"/>
          <w:sz w:val="22"/>
        </w:rPr>
        <w:t>$</w:t>
      </w:r>
      <w:r>
        <w:rPr>
          <w:rFonts w:ascii="Calibri" w:hAnsi="Calibri" w:cs="Times New Roman"/>
          <w:sz w:val="22"/>
        </w:rPr>
        <w:t>0.40</w:t>
      </w:r>
      <w:r w:rsidRPr="007B5503">
        <w:rPr>
          <w:rFonts w:ascii="Calibri" w:hAnsi="Calibri" w:cs="Times New Roman"/>
          <w:sz w:val="22"/>
        </w:rPr>
        <w:t xml:space="preserve"> per </w:t>
      </w:r>
      <w:r w:rsidR="0099701B">
        <w:rPr>
          <w:rFonts w:ascii="Calibri" w:hAnsi="Calibri" w:cs="Times New Roman"/>
          <w:sz w:val="22"/>
        </w:rPr>
        <w:t>Subscription R</w:t>
      </w:r>
      <w:r w:rsidRPr="007B5503">
        <w:rPr>
          <w:rFonts w:ascii="Calibri" w:hAnsi="Calibri" w:cs="Times New Roman"/>
          <w:sz w:val="22"/>
        </w:rPr>
        <w:t xml:space="preserve">eceipt (the </w:t>
      </w:r>
      <w:r w:rsidR="00BD7FA6">
        <w:rPr>
          <w:rFonts w:ascii="Calibri" w:hAnsi="Calibri" w:cs="Times New Roman"/>
          <w:sz w:val="22"/>
        </w:rPr>
        <w:t>“</w:t>
      </w:r>
      <w:r w:rsidRPr="007B5503">
        <w:rPr>
          <w:rFonts w:ascii="Calibri" w:hAnsi="Calibri" w:cs="Times New Roman"/>
          <w:b/>
          <w:sz w:val="22"/>
        </w:rPr>
        <w:t>Offering</w:t>
      </w:r>
      <w:r w:rsidR="00BD7FA6">
        <w:rPr>
          <w:rFonts w:ascii="Calibri" w:hAnsi="Calibri" w:cs="Times New Roman"/>
          <w:sz w:val="22"/>
        </w:rPr>
        <w:t>”</w:t>
      </w:r>
      <w:r w:rsidRPr="007B5503">
        <w:rPr>
          <w:rFonts w:ascii="Calibri" w:hAnsi="Calibri" w:cs="Times New Roman"/>
          <w:sz w:val="22"/>
        </w:rPr>
        <w:t>)</w:t>
      </w:r>
      <w:r>
        <w:rPr>
          <w:rFonts w:ascii="Calibri" w:hAnsi="Calibri" w:cs="Times New Roman"/>
          <w:sz w:val="22"/>
        </w:rPr>
        <w:t>.</w:t>
      </w:r>
    </w:p>
    <w:p w14:paraId="1C8749BC" w14:textId="77777777" w:rsidR="000F45C6" w:rsidRDefault="000F45C6" w:rsidP="00967F98">
      <w:pPr>
        <w:shd w:val="clear" w:color="auto" w:fill="FFFFFF"/>
        <w:jc w:val="both"/>
        <w:rPr>
          <w:rFonts w:ascii="Calibri" w:hAnsi="Calibri" w:cs="Times New Roman"/>
          <w:sz w:val="22"/>
        </w:rPr>
      </w:pPr>
    </w:p>
    <w:p w14:paraId="0D247868" w14:textId="7248D09D" w:rsidR="000F45C6" w:rsidRPr="00621DC7" w:rsidRDefault="004E0CED" w:rsidP="00967F98">
      <w:pPr>
        <w:shd w:val="clear" w:color="auto" w:fill="FFFFFF"/>
        <w:jc w:val="both"/>
        <w:rPr>
          <w:rFonts w:ascii="Calibri" w:hAnsi="Calibri" w:cs="Times New Roman"/>
          <w:sz w:val="22"/>
        </w:rPr>
      </w:pPr>
      <w:r w:rsidRPr="00621DC7">
        <w:rPr>
          <w:rFonts w:ascii="Calibri" w:hAnsi="Calibri" w:cs="Times New Roman"/>
          <w:sz w:val="22"/>
        </w:rPr>
        <w:t xml:space="preserve">“This transformative acquisition provides New Stratus with immediate cash flow, operatorship, attractive acquisition metrics and a self-funded development platform offering low-risk growth and long-term upside” commented Jose Francisco Arata, </w:t>
      </w:r>
      <w:r w:rsidR="0026007B">
        <w:rPr>
          <w:rFonts w:ascii="Calibri" w:hAnsi="Calibri" w:cs="Times New Roman"/>
          <w:sz w:val="22"/>
        </w:rPr>
        <w:t>Executive D</w:t>
      </w:r>
      <w:r w:rsidR="00611C0C">
        <w:rPr>
          <w:rFonts w:ascii="Calibri" w:hAnsi="Calibri" w:cs="Times New Roman"/>
          <w:sz w:val="22"/>
        </w:rPr>
        <w:t>irector of the Corporation</w:t>
      </w:r>
      <w:r w:rsidRPr="00621DC7">
        <w:rPr>
          <w:rFonts w:ascii="Calibri" w:hAnsi="Calibri" w:cs="Times New Roman"/>
          <w:sz w:val="22"/>
        </w:rPr>
        <w:t>.</w:t>
      </w:r>
    </w:p>
    <w:p w14:paraId="4B2BEFB8" w14:textId="77777777" w:rsidR="00B70E38" w:rsidRPr="007C370C" w:rsidRDefault="00B70E38" w:rsidP="00967F98">
      <w:pPr>
        <w:shd w:val="clear" w:color="auto" w:fill="FFFFFF"/>
        <w:jc w:val="both"/>
        <w:rPr>
          <w:rFonts w:ascii="Calibri" w:hAnsi="Calibri" w:cs="Times New Roman"/>
          <w:sz w:val="22"/>
        </w:rPr>
      </w:pPr>
    </w:p>
    <w:p w14:paraId="6F9839B0" w14:textId="77777777" w:rsidR="00B8016B" w:rsidRPr="007C370C" w:rsidRDefault="00B8016B" w:rsidP="00967F98">
      <w:pPr>
        <w:shd w:val="clear" w:color="auto" w:fill="FFFFFF"/>
        <w:jc w:val="both"/>
        <w:rPr>
          <w:rFonts w:ascii="Calibri" w:hAnsi="Calibri" w:cs="Times New Roman"/>
          <w:b/>
          <w:sz w:val="22"/>
        </w:rPr>
      </w:pPr>
      <w:r w:rsidRPr="007C370C">
        <w:rPr>
          <w:rFonts w:ascii="Calibri" w:hAnsi="Calibri" w:cs="Times New Roman"/>
          <w:b/>
          <w:sz w:val="22"/>
        </w:rPr>
        <w:t xml:space="preserve">About </w:t>
      </w:r>
      <w:r w:rsidR="00F33274" w:rsidRPr="007C370C">
        <w:rPr>
          <w:rFonts w:ascii="Calibri" w:hAnsi="Calibri" w:cs="Times New Roman"/>
          <w:b/>
          <w:sz w:val="22"/>
        </w:rPr>
        <w:t>Vetra Energia, S.L.</w:t>
      </w:r>
    </w:p>
    <w:p w14:paraId="3DE9F898" w14:textId="77777777" w:rsidR="00B8016B" w:rsidRPr="007C370C" w:rsidRDefault="00B8016B" w:rsidP="00967F98">
      <w:pPr>
        <w:shd w:val="clear" w:color="auto" w:fill="FFFFFF"/>
        <w:jc w:val="both"/>
        <w:rPr>
          <w:rFonts w:ascii="Calibri" w:hAnsi="Calibri" w:cs="Times New Roman"/>
          <w:sz w:val="22"/>
        </w:rPr>
      </w:pPr>
    </w:p>
    <w:p w14:paraId="53F2A92C" w14:textId="250C31C5" w:rsidR="001F30DB" w:rsidRPr="00331C29" w:rsidRDefault="00B8016B" w:rsidP="00331C29">
      <w:pPr>
        <w:shd w:val="clear" w:color="auto" w:fill="FFFFFF"/>
        <w:jc w:val="both"/>
        <w:rPr>
          <w:rFonts w:ascii="Calibri" w:hAnsi="Calibri" w:cs="Times New Roman"/>
          <w:sz w:val="22"/>
        </w:rPr>
      </w:pPr>
      <w:r w:rsidRPr="007C370C">
        <w:rPr>
          <w:rFonts w:ascii="Calibri" w:hAnsi="Calibri" w:cs="Times New Roman"/>
          <w:sz w:val="22"/>
        </w:rPr>
        <w:t xml:space="preserve">Vetra, a company incorporated pursuant to the laws of Spain, </w:t>
      </w:r>
      <w:r w:rsidR="00C32F34" w:rsidRPr="007C370C">
        <w:rPr>
          <w:rFonts w:ascii="Calibri" w:hAnsi="Calibri" w:cs="Times New Roman"/>
          <w:sz w:val="22"/>
        </w:rPr>
        <w:t xml:space="preserve">explores for, develops, produces and sells, </w:t>
      </w:r>
      <w:r w:rsidRPr="007C370C">
        <w:rPr>
          <w:rFonts w:ascii="Calibri" w:hAnsi="Calibri" w:cs="Times New Roman"/>
          <w:sz w:val="22"/>
        </w:rPr>
        <w:t xml:space="preserve">crude oil in Colombia. Vetra has interests in </w:t>
      </w:r>
      <w:r w:rsidR="009174F0" w:rsidRPr="007C370C">
        <w:rPr>
          <w:rFonts w:ascii="Calibri" w:hAnsi="Calibri" w:cs="Times New Roman"/>
          <w:sz w:val="22"/>
        </w:rPr>
        <w:t>exploration and production blocks in Colombia</w:t>
      </w:r>
      <w:r w:rsidR="008F6D5C">
        <w:rPr>
          <w:rFonts w:ascii="Calibri" w:hAnsi="Calibri" w:cs="Times New Roman"/>
          <w:sz w:val="22"/>
        </w:rPr>
        <w:t>, including the blocks listed below</w:t>
      </w:r>
      <w:r w:rsidR="007B02DC">
        <w:rPr>
          <w:rFonts w:ascii="Calibri" w:hAnsi="Calibri" w:cs="Times New Roman"/>
          <w:sz w:val="22"/>
        </w:rPr>
        <w:t xml:space="preserve"> (the </w:t>
      </w:r>
      <w:r w:rsidR="00BD7FA6">
        <w:rPr>
          <w:rFonts w:ascii="Calibri" w:hAnsi="Calibri" w:cs="Times New Roman"/>
          <w:sz w:val="22"/>
        </w:rPr>
        <w:t>“</w:t>
      </w:r>
      <w:r w:rsidR="007B02DC" w:rsidRPr="007B02DC">
        <w:rPr>
          <w:rFonts w:ascii="Calibri" w:hAnsi="Calibri" w:cs="Times New Roman"/>
          <w:b/>
          <w:sz w:val="22"/>
        </w:rPr>
        <w:t>Assets</w:t>
      </w:r>
      <w:r w:rsidR="00BD7FA6">
        <w:rPr>
          <w:rFonts w:ascii="Calibri" w:hAnsi="Calibri" w:cs="Times New Roman"/>
          <w:sz w:val="22"/>
        </w:rPr>
        <w:t>”</w:t>
      </w:r>
      <w:r w:rsidR="007B02DC">
        <w:rPr>
          <w:rFonts w:ascii="Calibri" w:hAnsi="Calibri" w:cs="Times New Roman"/>
          <w:sz w:val="22"/>
        </w:rPr>
        <w:t>)</w:t>
      </w:r>
      <w:r w:rsidR="0022393F">
        <w:rPr>
          <w:rFonts w:ascii="Calibri" w:hAnsi="Calibri" w:cs="Times New Roman"/>
          <w:sz w:val="22"/>
        </w:rPr>
        <w:t xml:space="preserve">. </w:t>
      </w:r>
      <w:r w:rsidR="00177159">
        <w:rPr>
          <w:rFonts w:ascii="Calibri" w:hAnsi="Calibri" w:cs="Times New Roman"/>
          <w:sz w:val="22"/>
        </w:rPr>
        <w:t>The La P</w:t>
      </w:r>
      <w:r w:rsidR="0099701B">
        <w:rPr>
          <w:rFonts w:ascii="Calibri" w:hAnsi="Calibri" w:cs="Times New Roman"/>
          <w:sz w:val="22"/>
        </w:rPr>
        <w:t>unta and Suroriente blocks are under</w:t>
      </w:r>
      <w:r w:rsidR="00177159">
        <w:rPr>
          <w:rFonts w:ascii="Calibri" w:hAnsi="Calibri" w:cs="Times New Roman"/>
          <w:sz w:val="22"/>
        </w:rPr>
        <w:t xml:space="preserve"> </w:t>
      </w:r>
      <w:r w:rsidR="0099701B">
        <w:rPr>
          <w:rFonts w:ascii="Calibri" w:hAnsi="Calibri" w:cs="Times New Roman"/>
          <w:sz w:val="22"/>
        </w:rPr>
        <w:t xml:space="preserve">contract with Ecopetrol and </w:t>
      </w:r>
      <w:r w:rsidR="003F1C13">
        <w:rPr>
          <w:rFonts w:ascii="Calibri" w:hAnsi="Calibri" w:cs="Times New Roman"/>
          <w:sz w:val="22"/>
        </w:rPr>
        <w:t xml:space="preserve">the </w:t>
      </w:r>
      <w:r w:rsidR="0099701B">
        <w:rPr>
          <w:rFonts w:ascii="Calibri" w:hAnsi="Calibri" w:cs="Times New Roman"/>
          <w:sz w:val="22"/>
        </w:rPr>
        <w:t>remainder</w:t>
      </w:r>
      <w:r w:rsidR="00331C29">
        <w:rPr>
          <w:rFonts w:ascii="Calibri" w:hAnsi="Calibri" w:cs="Times New Roman"/>
          <w:sz w:val="22"/>
        </w:rPr>
        <w:t xml:space="preserve"> of the</w:t>
      </w:r>
      <w:r w:rsidR="00331C29" w:rsidRPr="007C370C">
        <w:rPr>
          <w:rFonts w:ascii="Calibri" w:hAnsi="Calibri" w:cs="Times New Roman"/>
          <w:sz w:val="22"/>
        </w:rPr>
        <w:t xml:space="preserve"> blocks</w:t>
      </w:r>
      <w:r w:rsidR="00177159">
        <w:rPr>
          <w:rFonts w:ascii="Calibri" w:hAnsi="Calibri" w:cs="Times New Roman"/>
          <w:sz w:val="22"/>
        </w:rPr>
        <w:t xml:space="preserve"> </w:t>
      </w:r>
      <w:r w:rsidR="00331C29" w:rsidRPr="007C370C">
        <w:rPr>
          <w:rFonts w:ascii="Calibri" w:hAnsi="Calibri" w:cs="Times New Roman"/>
          <w:sz w:val="22"/>
        </w:rPr>
        <w:t xml:space="preserve">are with </w:t>
      </w:r>
      <w:proofErr w:type="spellStart"/>
      <w:r w:rsidR="00331C29" w:rsidRPr="007C370C">
        <w:rPr>
          <w:rFonts w:ascii="Calibri" w:hAnsi="Calibri" w:cs="Times New Roman"/>
          <w:sz w:val="22"/>
        </w:rPr>
        <w:t>Agencia</w:t>
      </w:r>
      <w:proofErr w:type="spellEnd"/>
      <w:r w:rsidR="00331C29" w:rsidRPr="007C370C">
        <w:rPr>
          <w:rFonts w:ascii="Calibri" w:hAnsi="Calibri" w:cs="Times New Roman"/>
          <w:sz w:val="22"/>
        </w:rPr>
        <w:t xml:space="preserve"> Nacional </w:t>
      </w:r>
      <w:r w:rsidR="00C73EFC">
        <w:rPr>
          <w:rFonts w:ascii="Calibri" w:hAnsi="Calibri" w:cs="Times New Roman"/>
          <w:sz w:val="22"/>
        </w:rPr>
        <w:t xml:space="preserve">de </w:t>
      </w:r>
      <w:proofErr w:type="spellStart"/>
      <w:r w:rsidR="00331C29" w:rsidRPr="007C370C">
        <w:rPr>
          <w:rFonts w:ascii="Calibri" w:hAnsi="Calibri" w:cs="Times New Roman"/>
          <w:sz w:val="22"/>
        </w:rPr>
        <w:t>Hidroca</w:t>
      </w:r>
      <w:r w:rsidR="00331C29">
        <w:rPr>
          <w:rFonts w:ascii="Calibri" w:hAnsi="Calibri" w:cs="Times New Roman"/>
          <w:sz w:val="22"/>
        </w:rPr>
        <w:t>rburos</w:t>
      </w:r>
      <w:proofErr w:type="spellEnd"/>
      <w:r w:rsidR="00331C29">
        <w:rPr>
          <w:rFonts w:ascii="Calibri" w:hAnsi="Calibri" w:cs="Times New Roman"/>
          <w:sz w:val="22"/>
        </w:rPr>
        <w:t xml:space="preserve"> (</w:t>
      </w:r>
      <w:r w:rsidR="008B45EA">
        <w:rPr>
          <w:rFonts w:ascii="Calibri" w:hAnsi="Calibri" w:cs="Times New Roman"/>
          <w:sz w:val="22"/>
        </w:rPr>
        <w:t>“</w:t>
      </w:r>
      <w:r w:rsidR="00331C29" w:rsidRPr="008B45EA">
        <w:rPr>
          <w:rFonts w:ascii="Calibri" w:hAnsi="Calibri" w:cs="Times New Roman"/>
          <w:b/>
          <w:sz w:val="22"/>
        </w:rPr>
        <w:t>ANH</w:t>
      </w:r>
      <w:r w:rsidR="008B45EA">
        <w:rPr>
          <w:rFonts w:ascii="Calibri" w:hAnsi="Calibri" w:cs="Times New Roman"/>
          <w:sz w:val="22"/>
        </w:rPr>
        <w:t>”</w:t>
      </w:r>
      <w:r w:rsidR="00331C29">
        <w:rPr>
          <w:rFonts w:ascii="Calibri" w:hAnsi="Calibri" w:cs="Times New Roman"/>
          <w:sz w:val="22"/>
        </w:rPr>
        <w:t>)</w:t>
      </w:r>
      <w:r w:rsidR="00331C29" w:rsidRPr="007C370C">
        <w:rPr>
          <w:rFonts w:ascii="Calibri" w:hAnsi="Calibri" w:cs="Times New Roman"/>
          <w:sz w:val="22"/>
        </w:rPr>
        <w:t>.</w:t>
      </w:r>
      <w:r w:rsidR="00C73EFC">
        <w:rPr>
          <w:rFonts w:ascii="Calibri" w:hAnsi="Calibri" w:cs="Times New Roman"/>
          <w:sz w:val="22"/>
        </w:rPr>
        <w:t xml:space="preserve"> In addition, </w:t>
      </w:r>
      <w:proofErr w:type="spellStart"/>
      <w:r w:rsidR="00C73EFC">
        <w:rPr>
          <w:rFonts w:ascii="Calibri" w:hAnsi="Calibri" w:cs="Times New Roman"/>
          <w:sz w:val="22"/>
        </w:rPr>
        <w:t>Vetra</w:t>
      </w:r>
      <w:proofErr w:type="spellEnd"/>
      <w:r w:rsidR="00C73EFC">
        <w:rPr>
          <w:rFonts w:ascii="Calibri" w:hAnsi="Calibri" w:cs="Times New Roman"/>
          <w:sz w:val="22"/>
        </w:rPr>
        <w:t xml:space="preserve"> also holds interests in the block VMM-2, which it intends to dispose prior to closing of the </w:t>
      </w:r>
      <w:r w:rsidR="00632A6D">
        <w:rPr>
          <w:rFonts w:ascii="Calibri" w:hAnsi="Calibri" w:cs="Times New Roman"/>
          <w:sz w:val="22"/>
        </w:rPr>
        <w:t>T</w:t>
      </w:r>
      <w:r w:rsidR="00C73EFC">
        <w:rPr>
          <w:rFonts w:ascii="Calibri" w:hAnsi="Calibri" w:cs="Times New Roman"/>
          <w:sz w:val="22"/>
        </w:rPr>
        <w:t>ransaction.</w:t>
      </w:r>
    </w:p>
    <w:p w14:paraId="1F50E18A" w14:textId="77777777" w:rsidR="009174F0" w:rsidRPr="007C370C" w:rsidRDefault="009174F0" w:rsidP="00967F98">
      <w:pPr>
        <w:shd w:val="clear" w:color="auto" w:fill="FFFFFF"/>
        <w:jc w:val="both"/>
        <w:rPr>
          <w:rFonts w:ascii="Calibri" w:hAnsi="Calibri" w:cs="Times New Roman"/>
          <w:sz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373"/>
        <w:gridCol w:w="2373"/>
        <w:gridCol w:w="2038"/>
      </w:tblGrid>
      <w:tr w:rsidR="00A33519" w:rsidRPr="007C370C" w14:paraId="407F29F7" w14:textId="77777777" w:rsidTr="008F6D5C">
        <w:trPr>
          <w:jc w:val="center"/>
        </w:trPr>
        <w:tc>
          <w:tcPr>
            <w:tcW w:w="2373" w:type="dxa"/>
            <w:shd w:val="pct15" w:color="auto" w:fill="auto"/>
          </w:tcPr>
          <w:p w14:paraId="7CE93BD4" w14:textId="77777777" w:rsidR="00A33519" w:rsidRPr="007C370C" w:rsidRDefault="00A33519" w:rsidP="00811BCF">
            <w:pPr>
              <w:pBdr>
                <w:bottom w:val="single" w:sz="4" w:space="1" w:color="auto"/>
              </w:pBdr>
              <w:spacing w:before="20" w:after="20"/>
              <w:jc w:val="both"/>
              <w:rPr>
                <w:rFonts w:ascii="Calibri" w:hAnsi="Calibri" w:cs="Times New Roman"/>
                <w:b/>
                <w:szCs w:val="20"/>
              </w:rPr>
            </w:pPr>
            <w:r w:rsidRPr="007C370C">
              <w:rPr>
                <w:rFonts w:ascii="Calibri" w:hAnsi="Calibri" w:cs="Times New Roman"/>
                <w:b/>
                <w:szCs w:val="20"/>
              </w:rPr>
              <w:t xml:space="preserve">Block </w:t>
            </w:r>
          </w:p>
        </w:tc>
        <w:tc>
          <w:tcPr>
            <w:tcW w:w="2373" w:type="dxa"/>
            <w:shd w:val="pct15" w:color="auto" w:fill="auto"/>
          </w:tcPr>
          <w:p w14:paraId="1AA925E9" w14:textId="77777777" w:rsidR="00A33519" w:rsidRPr="007C370C" w:rsidRDefault="00A33519" w:rsidP="007C370C">
            <w:pPr>
              <w:pBdr>
                <w:bottom w:val="single" w:sz="4" w:space="1" w:color="auto"/>
              </w:pBdr>
              <w:spacing w:before="20" w:after="20"/>
              <w:jc w:val="both"/>
              <w:rPr>
                <w:rFonts w:ascii="Calibri" w:hAnsi="Calibri" w:cs="Times New Roman"/>
                <w:b/>
                <w:szCs w:val="20"/>
              </w:rPr>
            </w:pPr>
            <w:r>
              <w:rPr>
                <w:rFonts w:ascii="Calibri" w:hAnsi="Calibri" w:cs="Times New Roman"/>
                <w:b/>
                <w:szCs w:val="20"/>
              </w:rPr>
              <w:t>Field</w:t>
            </w:r>
          </w:p>
        </w:tc>
        <w:tc>
          <w:tcPr>
            <w:tcW w:w="2373" w:type="dxa"/>
            <w:shd w:val="pct15" w:color="auto" w:fill="auto"/>
          </w:tcPr>
          <w:p w14:paraId="662012B7" w14:textId="77777777" w:rsidR="00A33519" w:rsidRPr="007C370C" w:rsidRDefault="00A33519" w:rsidP="007C370C">
            <w:pPr>
              <w:pBdr>
                <w:bottom w:val="single" w:sz="4" w:space="1" w:color="auto"/>
              </w:pBdr>
              <w:spacing w:before="20" w:after="20"/>
              <w:jc w:val="both"/>
              <w:rPr>
                <w:rFonts w:ascii="Calibri" w:hAnsi="Calibri" w:cs="Times New Roman"/>
                <w:b/>
                <w:szCs w:val="20"/>
              </w:rPr>
            </w:pPr>
            <w:r w:rsidRPr="007C370C">
              <w:rPr>
                <w:rFonts w:ascii="Calibri" w:hAnsi="Calibri" w:cs="Times New Roman"/>
                <w:b/>
                <w:szCs w:val="20"/>
              </w:rPr>
              <w:t>Basin</w:t>
            </w:r>
          </w:p>
        </w:tc>
        <w:tc>
          <w:tcPr>
            <w:tcW w:w="2038" w:type="dxa"/>
            <w:shd w:val="pct15" w:color="auto" w:fill="auto"/>
          </w:tcPr>
          <w:p w14:paraId="777AE3B9" w14:textId="77777777" w:rsidR="00A33519" w:rsidRPr="007C370C" w:rsidRDefault="00A33519" w:rsidP="007C370C">
            <w:pPr>
              <w:pBdr>
                <w:bottom w:val="single" w:sz="4" w:space="1" w:color="auto"/>
              </w:pBdr>
              <w:spacing w:before="20" w:after="20"/>
              <w:jc w:val="both"/>
              <w:rPr>
                <w:rFonts w:ascii="Calibri" w:hAnsi="Calibri" w:cs="Times New Roman"/>
                <w:b/>
                <w:szCs w:val="20"/>
              </w:rPr>
            </w:pPr>
            <w:r w:rsidRPr="007C370C">
              <w:rPr>
                <w:rFonts w:ascii="Calibri" w:hAnsi="Calibri" w:cs="Times New Roman"/>
                <w:b/>
                <w:szCs w:val="20"/>
              </w:rPr>
              <w:t>Working Interest</w:t>
            </w:r>
          </w:p>
        </w:tc>
      </w:tr>
      <w:tr w:rsidR="00A33519" w:rsidRPr="007C370C" w14:paraId="3F4D4E03" w14:textId="77777777" w:rsidTr="008F6D5C">
        <w:trPr>
          <w:jc w:val="center"/>
        </w:trPr>
        <w:tc>
          <w:tcPr>
            <w:tcW w:w="2373" w:type="dxa"/>
          </w:tcPr>
          <w:p w14:paraId="6979C903" w14:textId="77777777" w:rsidR="00A33519" w:rsidRPr="007C370C" w:rsidRDefault="00A33519" w:rsidP="00811BCF">
            <w:pPr>
              <w:spacing w:before="20" w:after="20"/>
              <w:rPr>
                <w:rFonts w:ascii="Calibri" w:hAnsi="Calibri" w:cs="Times New Roman"/>
                <w:szCs w:val="20"/>
              </w:rPr>
            </w:pPr>
            <w:r w:rsidRPr="003E7334">
              <w:rPr>
                <w:rFonts w:ascii="Calibri" w:hAnsi="Calibri" w:cs="Times New Roman"/>
                <w:szCs w:val="20"/>
              </w:rPr>
              <w:t>La Punta</w:t>
            </w:r>
          </w:p>
        </w:tc>
        <w:tc>
          <w:tcPr>
            <w:tcW w:w="2373" w:type="dxa"/>
          </w:tcPr>
          <w:p w14:paraId="00216198" w14:textId="77777777" w:rsidR="00A33519" w:rsidRDefault="00A33519" w:rsidP="00811BCF">
            <w:pPr>
              <w:spacing w:before="20" w:after="20"/>
              <w:rPr>
                <w:rFonts w:ascii="Calibri" w:hAnsi="Calibri" w:cs="Times New Roman"/>
                <w:szCs w:val="20"/>
              </w:rPr>
            </w:pPr>
            <w:r>
              <w:rPr>
                <w:rFonts w:ascii="Calibri" w:hAnsi="Calibri" w:cs="Times New Roman"/>
                <w:szCs w:val="20"/>
              </w:rPr>
              <w:t>Santo Domingo</w:t>
            </w:r>
          </w:p>
        </w:tc>
        <w:tc>
          <w:tcPr>
            <w:tcW w:w="2373" w:type="dxa"/>
          </w:tcPr>
          <w:p w14:paraId="1BA9AE1B" w14:textId="77777777" w:rsidR="00A33519" w:rsidRPr="007C370C" w:rsidRDefault="00A33519" w:rsidP="007C370C">
            <w:pPr>
              <w:spacing w:before="20" w:after="20"/>
              <w:jc w:val="both"/>
              <w:rPr>
                <w:rFonts w:ascii="Calibri" w:hAnsi="Calibri" w:cs="Times New Roman"/>
                <w:szCs w:val="20"/>
              </w:rPr>
            </w:pPr>
            <w:r w:rsidRPr="00811BCF">
              <w:rPr>
                <w:rFonts w:ascii="Calibri" w:hAnsi="Calibri" w:cs="Times New Roman"/>
                <w:szCs w:val="20"/>
              </w:rPr>
              <w:t>Llanos</w:t>
            </w:r>
          </w:p>
        </w:tc>
        <w:tc>
          <w:tcPr>
            <w:tcW w:w="2038" w:type="dxa"/>
          </w:tcPr>
          <w:p w14:paraId="578909E4" w14:textId="77777777" w:rsidR="00A33519" w:rsidRPr="007C370C" w:rsidRDefault="00A33519" w:rsidP="007C370C">
            <w:pPr>
              <w:spacing w:before="20" w:after="20"/>
              <w:jc w:val="both"/>
              <w:rPr>
                <w:rFonts w:ascii="Calibri" w:hAnsi="Calibri" w:cs="Times New Roman"/>
                <w:szCs w:val="20"/>
              </w:rPr>
            </w:pPr>
            <w:r>
              <w:rPr>
                <w:rFonts w:ascii="Calibri" w:hAnsi="Calibri" w:cs="Times New Roman"/>
                <w:szCs w:val="20"/>
              </w:rPr>
              <w:t>100%</w:t>
            </w:r>
          </w:p>
        </w:tc>
      </w:tr>
      <w:tr w:rsidR="00A33519" w:rsidRPr="007C370C" w14:paraId="1E67E4F7" w14:textId="77777777" w:rsidTr="008F6D5C">
        <w:trPr>
          <w:jc w:val="center"/>
        </w:trPr>
        <w:tc>
          <w:tcPr>
            <w:tcW w:w="2373" w:type="dxa"/>
          </w:tcPr>
          <w:p w14:paraId="13B6AF4C" w14:textId="77777777" w:rsidR="00A33519" w:rsidRPr="007C370C" w:rsidRDefault="00A33519" w:rsidP="00811BCF">
            <w:pPr>
              <w:spacing w:before="20" w:after="20"/>
              <w:rPr>
                <w:rFonts w:ascii="Calibri" w:hAnsi="Calibri" w:cs="Times New Roman"/>
                <w:szCs w:val="20"/>
              </w:rPr>
            </w:pPr>
            <w:r w:rsidRPr="00811BCF">
              <w:rPr>
                <w:rFonts w:ascii="Calibri" w:hAnsi="Calibri" w:cs="Times New Roman"/>
                <w:szCs w:val="20"/>
              </w:rPr>
              <w:t>Suroriente</w:t>
            </w:r>
          </w:p>
        </w:tc>
        <w:tc>
          <w:tcPr>
            <w:tcW w:w="2373" w:type="dxa"/>
          </w:tcPr>
          <w:p w14:paraId="626FA0CB" w14:textId="77777777" w:rsidR="00A33519" w:rsidRDefault="00A33519" w:rsidP="00811BCF">
            <w:pPr>
              <w:spacing w:before="20" w:after="20"/>
              <w:rPr>
                <w:rFonts w:ascii="Calibri" w:hAnsi="Calibri" w:cs="Times New Roman"/>
                <w:szCs w:val="20"/>
              </w:rPr>
            </w:pPr>
            <w:r>
              <w:rPr>
                <w:rFonts w:ascii="Calibri" w:hAnsi="Calibri" w:cs="Times New Roman"/>
                <w:szCs w:val="20"/>
              </w:rPr>
              <w:t>Cohembi</w:t>
            </w:r>
          </w:p>
        </w:tc>
        <w:tc>
          <w:tcPr>
            <w:tcW w:w="2373" w:type="dxa"/>
          </w:tcPr>
          <w:p w14:paraId="6F786FB3" w14:textId="77777777" w:rsidR="00A33519" w:rsidRPr="007C370C" w:rsidRDefault="00A33519" w:rsidP="007C370C">
            <w:pPr>
              <w:spacing w:before="20" w:after="20"/>
              <w:jc w:val="both"/>
              <w:rPr>
                <w:rFonts w:ascii="Calibri" w:hAnsi="Calibri" w:cs="Times New Roman"/>
                <w:szCs w:val="20"/>
              </w:rPr>
            </w:pPr>
            <w:r w:rsidRPr="00A33519">
              <w:rPr>
                <w:rFonts w:ascii="Calibri" w:hAnsi="Calibri" w:cs="Times New Roman"/>
                <w:szCs w:val="20"/>
              </w:rPr>
              <w:t>Putumayo</w:t>
            </w:r>
          </w:p>
        </w:tc>
        <w:tc>
          <w:tcPr>
            <w:tcW w:w="2038" w:type="dxa"/>
          </w:tcPr>
          <w:p w14:paraId="7A620BB4" w14:textId="77777777" w:rsidR="00A33519" w:rsidRPr="007C370C" w:rsidRDefault="00A33519" w:rsidP="007C370C">
            <w:pPr>
              <w:spacing w:before="20" w:after="20"/>
              <w:jc w:val="both"/>
              <w:rPr>
                <w:rFonts w:ascii="Calibri" w:hAnsi="Calibri" w:cs="Times New Roman"/>
                <w:szCs w:val="20"/>
              </w:rPr>
            </w:pPr>
            <w:r>
              <w:rPr>
                <w:rFonts w:ascii="Calibri" w:hAnsi="Calibri" w:cs="Times New Roman"/>
                <w:szCs w:val="20"/>
              </w:rPr>
              <w:t>69.5%</w:t>
            </w:r>
          </w:p>
        </w:tc>
      </w:tr>
      <w:tr w:rsidR="00A33519" w:rsidRPr="007C370C" w14:paraId="5B75179B" w14:textId="77777777" w:rsidTr="008F6D5C">
        <w:trPr>
          <w:jc w:val="center"/>
        </w:trPr>
        <w:tc>
          <w:tcPr>
            <w:tcW w:w="2373" w:type="dxa"/>
          </w:tcPr>
          <w:p w14:paraId="12C792DA" w14:textId="77777777" w:rsidR="00A33519" w:rsidRPr="007C370C" w:rsidRDefault="00A33519" w:rsidP="00811BCF">
            <w:pPr>
              <w:spacing w:before="20" w:after="20"/>
              <w:rPr>
                <w:rFonts w:ascii="Calibri" w:hAnsi="Calibri" w:cs="Times New Roman"/>
                <w:szCs w:val="20"/>
              </w:rPr>
            </w:pPr>
            <w:r w:rsidRPr="00811BCF">
              <w:rPr>
                <w:rFonts w:ascii="Calibri" w:hAnsi="Calibri" w:cs="Times New Roman"/>
                <w:szCs w:val="20"/>
              </w:rPr>
              <w:t>Suroriente</w:t>
            </w:r>
          </w:p>
        </w:tc>
        <w:tc>
          <w:tcPr>
            <w:tcW w:w="2373" w:type="dxa"/>
          </w:tcPr>
          <w:p w14:paraId="0D5974BD" w14:textId="77777777" w:rsidR="00A33519" w:rsidRDefault="00A33519" w:rsidP="00811BCF">
            <w:pPr>
              <w:spacing w:before="20" w:after="20"/>
              <w:rPr>
                <w:rFonts w:ascii="Calibri" w:hAnsi="Calibri" w:cs="Times New Roman"/>
                <w:szCs w:val="20"/>
              </w:rPr>
            </w:pPr>
            <w:proofErr w:type="spellStart"/>
            <w:r>
              <w:rPr>
                <w:rFonts w:ascii="Calibri" w:hAnsi="Calibri" w:cs="Times New Roman"/>
                <w:szCs w:val="20"/>
              </w:rPr>
              <w:t>Piñuña-Quillacinga</w:t>
            </w:r>
            <w:proofErr w:type="spellEnd"/>
          </w:p>
        </w:tc>
        <w:tc>
          <w:tcPr>
            <w:tcW w:w="2373" w:type="dxa"/>
          </w:tcPr>
          <w:p w14:paraId="3BE02B56" w14:textId="77777777" w:rsidR="00A33519" w:rsidRPr="007C370C" w:rsidRDefault="00A33519" w:rsidP="00401936">
            <w:pPr>
              <w:spacing w:before="20" w:after="20"/>
              <w:jc w:val="both"/>
              <w:rPr>
                <w:rFonts w:ascii="Calibri" w:hAnsi="Calibri" w:cs="Times New Roman"/>
                <w:szCs w:val="20"/>
              </w:rPr>
            </w:pPr>
            <w:r w:rsidRPr="00A33519">
              <w:rPr>
                <w:rFonts w:ascii="Calibri" w:hAnsi="Calibri" w:cs="Times New Roman"/>
                <w:szCs w:val="20"/>
              </w:rPr>
              <w:t>Putumayo</w:t>
            </w:r>
          </w:p>
        </w:tc>
        <w:tc>
          <w:tcPr>
            <w:tcW w:w="2038" w:type="dxa"/>
          </w:tcPr>
          <w:p w14:paraId="21EB5052" w14:textId="77777777" w:rsidR="00A33519" w:rsidRPr="007C370C" w:rsidRDefault="00A33519" w:rsidP="00401936">
            <w:pPr>
              <w:spacing w:before="20" w:after="20"/>
              <w:jc w:val="both"/>
              <w:rPr>
                <w:rFonts w:ascii="Calibri" w:hAnsi="Calibri" w:cs="Times New Roman"/>
                <w:szCs w:val="20"/>
              </w:rPr>
            </w:pPr>
            <w:r>
              <w:rPr>
                <w:rFonts w:ascii="Calibri" w:hAnsi="Calibri" w:cs="Times New Roman"/>
                <w:szCs w:val="20"/>
              </w:rPr>
              <w:t>69.5%</w:t>
            </w:r>
          </w:p>
        </w:tc>
      </w:tr>
      <w:tr w:rsidR="00A33519" w:rsidRPr="007C370C" w14:paraId="4DCF3E1F" w14:textId="77777777" w:rsidTr="008F6D5C">
        <w:trPr>
          <w:jc w:val="center"/>
        </w:trPr>
        <w:tc>
          <w:tcPr>
            <w:tcW w:w="2373" w:type="dxa"/>
          </w:tcPr>
          <w:p w14:paraId="36176987" w14:textId="77777777" w:rsidR="00A33519" w:rsidRPr="00811BCF" w:rsidRDefault="00A33519" w:rsidP="00811BCF">
            <w:pPr>
              <w:spacing w:before="20" w:after="20"/>
              <w:rPr>
                <w:rFonts w:ascii="Calibri" w:hAnsi="Calibri" w:cs="Times New Roman"/>
                <w:szCs w:val="20"/>
              </w:rPr>
            </w:pPr>
            <w:r w:rsidRPr="00811BCF">
              <w:rPr>
                <w:rFonts w:ascii="Calibri" w:hAnsi="Calibri" w:cs="Times New Roman"/>
                <w:szCs w:val="20"/>
              </w:rPr>
              <w:t>Suroriente</w:t>
            </w:r>
          </w:p>
        </w:tc>
        <w:tc>
          <w:tcPr>
            <w:tcW w:w="2373" w:type="dxa"/>
          </w:tcPr>
          <w:p w14:paraId="3B38402D" w14:textId="77777777" w:rsidR="00A33519" w:rsidRDefault="00A33519" w:rsidP="00811BCF">
            <w:pPr>
              <w:spacing w:before="20" w:after="20"/>
              <w:rPr>
                <w:rFonts w:ascii="Calibri" w:hAnsi="Calibri" w:cs="Times New Roman"/>
                <w:szCs w:val="20"/>
              </w:rPr>
            </w:pPr>
            <w:r>
              <w:rPr>
                <w:rFonts w:ascii="Calibri" w:hAnsi="Calibri" w:cs="Times New Roman"/>
                <w:szCs w:val="20"/>
              </w:rPr>
              <w:t>Quinde</w:t>
            </w:r>
          </w:p>
        </w:tc>
        <w:tc>
          <w:tcPr>
            <w:tcW w:w="2373" w:type="dxa"/>
          </w:tcPr>
          <w:p w14:paraId="7802D9E8" w14:textId="77777777" w:rsidR="00A33519" w:rsidRPr="007C370C" w:rsidRDefault="00A33519" w:rsidP="00401936">
            <w:pPr>
              <w:spacing w:before="20" w:after="20"/>
              <w:jc w:val="both"/>
              <w:rPr>
                <w:rFonts w:ascii="Calibri" w:hAnsi="Calibri" w:cs="Times New Roman"/>
                <w:szCs w:val="20"/>
              </w:rPr>
            </w:pPr>
            <w:r w:rsidRPr="00A33519">
              <w:rPr>
                <w:rFonts w:ascii="Calibri" w:hAnsi="Calibri" w:cs="Times New Roman"/>
                <w:szCs w:val="20"/>
              </w:rPr>
              <w:t>Putumayo</w:t>
            </w:r>
          </w:p>
        </w:tc>
        <w:tc>
          <w:tcPr>
            <w:tcW w:w="2038" w:type="dxa"/>
          </w:tcPr>
          <w:p w14:paraId="206E9823" w14:textId="77777777" w:rsidR="00A33519" w:rsidRDefault="00A33519" w:rsidP="007C370C">
            <w:pPr>
              <w:spacing w:before="20" w:after="20"/>
              <w:jc w:val="both"/>
              <w:rPr>
                <w:rFonts w:ascii="Calibri" w:hAnsi="Calibri" w:cs="Times New Roman"/>
                <w:szCs w:val="20"/>
              </w:rPr>
            </w:pPr>
            <w:r>
              <w:rPr>
                <w:rFonts w:ascii="Calibri" w:hAnsi="Calibri" w:cs="Times New Roman"/>
                <w:szCs w:val="20"/>
              </w:rPr>
              <w:t>69.5%</w:t>
            </w:r>
          </w:p>
        </w:tc>
      </w:tr>
      <w:tr w:rsidR="00A33519" w:rsidRPr="00811BCF" w14:paraId="0ED4C590" w14:textId="77777777" w:rsidTr="008F6D5C">
        <w:trPr>
          <w:jc w:val="center"/>
        </w:trPr>
        <w:tc>
          <w:tcPr>
            <w:tcW w:w="2373" w:type="dxa"/>
          </w:tcPr>
          <w:p w14:paraId="228F0913" w14:textId="77777777" w:rsidR="00177159" w:rsidRDefault="00177159" w:rsidP="00811BCF">
            <w:pPr>
              <w:spacing w:before="20" w:after="20"/>
              <w:rPr>
                <w:rFonts w:ascii="Calibri" w:hAnsi="Calibri" w:cs="Times New Roman"/>
                <w:szCs w:val="20"/>
                <w:lang w:val="fr-CA"/>
              </w:rPr>
            </w:pPr>
            <w:r>
              <w:rPr>
                <w:rFonts w:ascii="Calibri" w:hAnsi="Calibri" w:cs="Times New Roman"/>
                <w:szCs w:val="20"/>
                <w:lang w:val="fr-CA"/>
              </w:rPr>
              <w:t>LLA-64</w:t>
            </w:r>
          </w:p>
          <w:p w14:paraId="645BE143" w14:textId="77777777" w:rsidR="00177159" w:rsidRDefault="00177159" w:rsidP="00811BCF">
            <w:pPr>
              <w:spacing w:before="20" w:after="20"/>
              <w:rPr>
                <w:rFonts w:ascii="Calibri" w:hAnsi="Calibri" w:cs="Times New Roman"/>
                <w:szCs w:val="20"/>
                <w:lang w:val="fr-CA"/>
              </w:rPr>
            </w:pPr>
            <w:r>
              <w:rPr>
                <w:rFonts w:ascii="Calibri" w:hAnsi="Calibri" w:cs="Times New Roman"/>
                <w:szCs w:val="20"/>
                <w:lang w:val="fr-CA"/>
              </w:rPr>
              <w:t>LLA-78</w:t>
            </w:r>
          </w:p>
          <w:p w14:paraId="33DDAC7E" w14:textId="77777777" w:rsidR="00177159" w:rsidRDefault="00177159" w:rsidP="00811BCF">
            <w:pPr>
              <w:spacing w:before="20" w:after="20"/>
              <w:rPr>
                <w:rFonts w:ascii="Calibri" w:hAnsi="Calibri" w:cs="Times New Roman"/>
                <w:szCs w:val="20"/>
                <w:lang w:val="fr-CA"/>
              </w:rPr>
            </w:pPr>
            <w:r>
              <w:rPr>
                <w:rFonts w:ascii="Calibri" w:hAnsi="Calibri" w:cs="Times New Roman"/>
                <w:szCs w:val="20"/>
                <w:lang w:val="fr-CA"/>
              </w:rPr>
              <w:t>LLA-5</w:t>
            </w:r>
          </w:p>
          <w:p w14:paraId="5A2F3FDA" w14:textId="77777777" w:rsidR="00177159" w:rsidRPr="00811BCF" w:rsidRDefault="00177159" w:rsidP="00811BCF">
            <w:pPr>
              <w:spacing w:before="20" w:after="20"/>
              <w:rPr>
                <w:rFonts w:ascii="Calibri" w:hAnsi="Calibri" w:cs="Times New Roman"/>
                <w:szCs w:val="20"/>
                <w:lang w:val="fr-CA"/>
              </w:rPr>
            </w:pPr>
            <w:r>
              <w:rPr>
                <w:rFonts w:ascii="Calibri" w:hAnsi="Calibri" w:cs="Times New Roman"/>
                <w:szCs w:val="20"/>
                <w:lang w:val="fr-CA"/>
              </w:rPr>
              <w:t>PUT-8</w:t>
            </w:r>
          </w:p>
        </w:tc>
        <w:tc>
          <w:tcPr>
            <w:tcW w:w="2373" w:type="dxa"/>
          </w:tcPr>
          <w:p w14:paraId="61B1857B" w14:textId="77777777" w:rsidR="00177159" w:rsidRDefault="00177159" w:rsidP="00811BCF">
            <w:pPr>
              <w:spacing w:before="20" w:after="20"/>
              <w:rPr>
                <w:rFonts w:ascii="Calibri" w:hAnsi="Calibri" w:cs="Times New Roman"/>
                <w:szCs w:val="20"/>
                <w:lang w:val="fr-CA"/>
              </w:rPr>
            </w:pPr>
            <w:r>
              <w:rPr>
                <w:rFonts w:ascii="Calibri" w:hAnsi="Calibri" w:cs="Times New Roman"/>
                <w:szCs w:val="20"/>
                <w:lang w:val="fr-CA"/>
              </w:rPr>
              <w:t>Exploration</w:t>
            </w:r>
          </w:p>
          <w:p w14:paraId="725AA01D" w14:textId="77777777" w:rsidR="00177159" w:rsidRDefault="00177159" w:rsidP="00811BCF">
            <w:pPr>
              <w:spacing w:before="20" w:after="20"/>
              <w:rPr>
                <w:rFonts w:ascii="Calibri" w:hAnsi="Calibri" w:cs="Times New Roman"/>
                <w:szCs w:val="20"/>
                <w:lang w:val="fr-CA"/>
              </w:rPr>
            </w:pPr>
            <w:r>
              <w:rPr>
                <w:rFonts w:ascii="Calibri" w:hAnsi="Calibri" w:cs="Times New Roman"/>
                <w:szCs w:val="20"/>
                <w:lang w:val="fr-CA"/>
              </w:rPr>
              <w:t>Exploration</w:t>
            </w:r>
          </w:p>
          <w:p w14:paraId="19BD6FF9" w14:textId="77777777" w:rsidR="00177159" w:rsidRDefault="00177159" w:rsidP="00811BCF">
            <w:pPr>
              <w:spacing w:before="20" w:after="20"/>
              <w:rPr>
                <w:rFonts w:ascii="Calibri" w:hAnsi="Calibri" w:cs="Times New Roman"/>
                <w:szCs w:val="20"/>
                <w:lang w:val="fr-CA"/>
              </w:rPr>
            </w:pPr>
            <w:r>
              <w:rPr>
                <w:rFonts w:ascii="Calibri" w:hAnsi="Calibri" w:cs="Times New Roman"/>
                <w:szCs w:val="20"/>
                <w:lang w:val="fr-CA"/>
              </w:rPr>
              <w:t>Exploration</w:t>
            </w:r>
          </w:p>
          <w:p w14:paraId="137D6B9E" w14:textId="77777777" w:rsidR="00177159" w:rsidRPr="00811BCF" w:rsidRDefault="00177159" w:rsidP="00811BCF">
            <w:pPr>
              <w:spacing w:before="20" w:after="20"/>
              <w:rPr>
                <w:rFonts w:ascii="Calibri" w:hAnsi="Calibri" w:cs="Times New Roman"/>
                <w:szCs w:val="20"/>
                <w:lang w:val="fr-CA"/>
              </w:rPr>
            </w:pPr>
            <w:r>
              <w:rPr>
                <w:rFonts w:ascii="Calibri" w:hAnsi="Calibri" w:cs="Times New Roman"/>
                <w:szCs w:val="20"/>
                <w:lang w:val="fr-CA"/>
              </w:rPr>
              <w:t>Exploration</w:t>
            </w:r>
          </w:p>
        </w:tc>
        <w:tc>
          <w:tcPr>
            <w:tcW w:w="2373" w:type="dxa"/>
          </w:tcPr>
          <w:p w14:paraId="4D963CCD" w14:textId="77777777" w:rsidR="00177159" w:rsidRPr="00AD2BA2" w:rsidRDefault="00177159" w:rsidP="00401936">
            <w:pPr>
              <w:spacing w:before="20" w:after="20"/>
              <w:jc w:val="both"/>
              <w:rPr>
                <w:rFonts w:ascii="Calibri" w:hAnsi="Calibri" w:cs="Times New Roman"/>
                <w:szCs w:val="20"/>
                <w:lang w:val="fr-CA"/>
              </w:rPr>
            </w:pPr>
            <w:r w:rsidRPr="00AD2BA2">
              <w:rPr>
                <w:rFonts w:ascii="Calibri" w:hAnsi="Calibri" w:cs="Times New Roman"/>
                <w:szCs w:val="20"/>
                <w:lang w:val="fr-CA"/>
              </w:rPr>
              <w:t>Llanos</w:t>
            </w:r>
          </w:p>
          <w:p w14:paraId="17A76B5A" w14:textId="77777777" w:rsidR="00177159" w:rsidRPr="00AD2BA2" w:rsidRDefault="00177159" w:rsidP="00401936">
            <w:pPr>
              <w:spacing w:before="20" w:after="20"/>
              <w:jc w:val="both"/>
              <w:rPr>
                <w:rFonts w:ascii="Calibri" w:hAnsi="Calibri" w:cs="Times New Roman"/>
                <w:szCs w:val="20"/>
                <w:lang w:val="fr-CA"/>
              </w:rPr>
            </w:pPr>
            <w:r w:rsidRPr="00AD2BA2">
              <w:rPr>
                <w:rFonts w:ascii="Calibri" w:hAnsi="Calibri" w:cs="Times New Roman"/>
                <w:szCs w:val="20"/>
                <w:lang w:val="fr-CA"/>
              </w:rPr>
              <w:t>Llanos</w:t>
            </w:r>
          </w:p>
          <w:p w14:paraId="0CCE1E3C" w14:textId="77777777" w:rsidR="00177159" w:rsidRPr="00AD2BA2" w:rsidRDefault="00177159" w:rsidP="00401936">
            <w:pPr>
              <w:spacing w:before="20" w:after="20"/>
              <w:jc w:val="both"/>
              <w:rPr>
                <w:rFonts w:ascii="Calibri" w:hAnsi="Calibri" w:cs="Times New Roman"/>
                <w:szCs w:val="20"/>
                <w:lang w:val="fr-CA"/>
              </w:rPr>
            </w:pPr>
            <w:r w:rsidRPr="00AD2BA2">
              <w:rPr>
                <w:rFonts w:ascii="Calibri" w:hAnsi="Calibri" w:cs="Times New Roman"/>
                <w:szCs w:val="20"/>
                <w:lang w:val="fr-CA"/>
              </w:rPr>
              <w:t>Llanos</w:t>
            </w:r>
          </w:p>
          <w:p w14:paraId="5A6AA2A9" w14:textId="77777777" w:rsidR="00177159" w:rsidRPr="00AD2BA2" w:rsidRDefault="00177159" w:rsidP="00401936">
            <w:pPr>
              <w:spacing w:before="20" w:after="20"/>
              <w:jc w:val="both"/>
              <w:rPr>
                <w:rFonts w:ascii="Calibri" w:hAnsi="Calibri" w:cs="Times New Roman"/>
                <w:szCs w:val="20"/>
                <w:lang w:val="fr-CA"/>
              </w:rPr>
            </w:pPr>
            <w:r w:rsidRPr="00AD2BA2">
              <w:rPr>
                <w:rFonts w:ascii="Calibri" w:hAnsi="Calibri" w:cs="Times New Roman"/>
                <w:szCs w:val="20"/>
                <w:lang w:val="fr-CA"/>
              </w:rPr>
              <w:t>Putumayo</w:t>
            </w:r>
          </w:p>
        </w:tc>
        <w:tc>
          <w:tcPr>
            <w:tcW w:w="2038" w:type="dxa"/>
          </w:tcPr>
          <w:p w14:paraId="47EF1672" w14:textId="77777777" w:rsidR="00177159" w:rsidRDefault="00177159" w:rsidP="007C370C">
            <w:pPr>
              <w:spacing w:before="20" w:after="20"/>
              <w:jc w:val="both"/>
              <w:rPr>
                <w:rFonts w:ascii="Calibri" w:hAnsi="Calibri" w:cs="Times New Roman"/>
                <w:szCs w:val="20"/>
                <w:lang w:val="fr-CA"/>
              </w:rPr>
            </w:pPr>
            <w:r>
              <w:rPr>
                <w:rFonts w:ascii="Calibri" w:hAnsi="Calibri" w:cs="Times New Roman"/>
                <w:szCs w:val="20"/>
                <w:lang w:val="fr-CA"/>
              </w:rPr>
              <w:t>100%</w:t>
            </w:r>
          </w:p>
          <w:p w14:paraId="3A3CE037" w14:textId="77777777" w:rsidR="00177159" w:rsidRDefault="00177159" w:rsidP="007C370C">
            <w:pPr>
              <w:spacing w:before="20" w:after="20"/>
              <w:jc w:val="both"/>
              <w:rPr>
                <w:rFonts w:ascii="Calibri" w:hAnsi="Calibri" w:cs="Times New Roman"/>
                <w:szCs w:val="20"/>
                <w:lang w:val="fr-CA"/>
              </w:rPr>
            </w:pPr>
            <w:r>
              <w:rPr>
                <w:rFonts w:ascii="Calibri" w:hAnsi="Calibri" w:cs="Times New Roman"/>
                <w:szCs w:val="20"/>
                <w:lang w:val="fr-CA"/>
              </w:rPr>
              <w:t>100%</w:t>
            </w:r>
          </w:p>
          <w:p w14:paraId="4C727ECA" w14:textId="77777777" w:rsidR="00177159" w:rsidRDefault="00177159" w:rsidP="007C370C">
            <w:pPr>
              <w:spacing w:before="20" w:after="20"/>
              <w:jc w:val="both"/>
              <w:rPr>
                <w:rFonts w:ascii="Calibri" w:hAnsi="Calibri" w:cs="Times New Roman"/>
                <w:szCs w:val="20"/>
                <w:lang w:val="fr-CA"/>
              </w:rPr>
            </w:pPr>
            <w:r>
              <w:rPr>
                <w:rFonts w:ascii="Calibri" w:hAnsi="Calibri" w:cs="Times New Roman"/>
                <w:szCs w:val="20"/>
                <w:lang w:val="fr-CA"/>
              </w:rPr>
              <w:t>100%</w:t>
            </w:r>
          </w:p>
          <w:p w14:paraId="5F76D8EF" w14:textId="77777777" w:rsidR="00177159" w:rsidRDefault="00177159" w:rsidP="007C370C">
            <w:pPr>
              <w:spacing w:before="20" w:after="20"/>
              <w:jc w:val="both"/>
              <w:rPr>
                <w:rFonts w:ascii="Calibri" w:hAnsi="Calibri" w:cs="Times New Roman"/>
                <w:szCs w:val="20"/>
                <w:lang w:val="fr-CA"/>
              </w:rPr>
            </w:pPr>
            <w:r>
              <w:rPr>
                <w:rFonts w:ascii="Calibri" w:hAnsi="Calibri" w:cs="Times New Roman"/>
                <w:szCs w:val="20"/>
                <w:lang w:val="fr-CA"/>
              </w:rPr>
              <w:t>50%</w:t>
            </w:r>
          </w:p>
          <w:p w14:paraId="6D6D2296" w14:textId="77777777" w:rsidR="00177159" w:rsidRPr="00811BCF" w:rsidRDefault="00177159" w:rsidP="007C370C">
            <w:pPr>
              <w:spacing w:before="20" w:after="20"/>
              <w:jc w:val="both"/>
              <w:rPr>
                <w:rFonts w:ascii="Calibri" w:hAnsi="Calibri" w:cs="Times New Roman"/>
                <w:szCs w:val="20"/>
                <w:lang w:val="fr-CA"/>
              </w:rPr>
            </w:pPr>
          </w:p>
        </w:tc>
      </w:tr>
    </w:tbl>
    <w:p w14:paraId="13ABDC8A" w14:textId="77777777" w:rsidR="008F6D5C" w:rsidRDefault="008F6D5C" w:rsidP="00967F98">
      <w:pPr>
        <w:shd w:val="clear" w:color="auto" w:fill="FFFFFF"/>
        <w:jc w:val="both"/>
        <w:rPr>
          <w:rFonts w:ascii="Calibri" w:hAnsi="Calibri" w:cs="Times New Roman"/>
          <w:sz w:val="22"/>
        </w:rPr>
      </w:pPr>
      <w:r>
        <w:rPr>
          <w:rFonts w:ascii="Calibri" w:hAnsi="Calibri" w:cs="Times New Roman"/>
          <w:sz w:val="22"/>
        </w:rPr>
        <w:lastRenderedPageBreak/>
        <w:t xml:space="preserve"> </w:t>
      </w:r>
    </w:p>
    <w:p w14:paraId="0D83A211" w14:textId="77777777" w:rsidR="007C370C" w:rsidRDefault="007C370C" w:rsidP="00331C29">
      <w:pPr>
        <w:pStyle w:val="BodyText"/>
        <w:widowControl w:val="0"/>
        <w:jc w:val="both"/>
        <w:rPr>
          <w:rFonts w:ascii="Calibri" w:hAnsi="Calibri"/>
          <w:sz w:val="22"/>
        </w:rPr>
      </w:pPr>
      <w:r w:rsidRPr="007C370C">
        <w:rPr>
          <w:rFonts w:ascii="Calibri" w:hAnsi="Calibri"/>
          <w:sz w:val="22"/>
        </w:rPr>
        <w:t xml:space="preserve">The following table provides a summary of </w:t>
      </w:r>
      <w:proofErr w:type="spellStart"/>
      <w:r w:rsidRPr="007C370C">
        <w:rPr>
          <w:rFonts w:ascii="Calibri" w:hAnsi="Calibri"/>
          <w:sz w:val="22"/>
        </w:rPr>
        <w:t>Vetra</w:t>
      </w:r>
      <w:r w:rsidR="00BD7FA6">
        <w:rPr>
          <w:rFonts w:ascii="Calibri" w:hAnsi="Calibri"/>
          <w:sz w:val="22"/>
        </w:rPr>
        <w:t>’</w:t>
      </w:r>
      <w:r w:rsidRPr="007C370C">
        <w:rPr>
          <w:rFonts w:ascii="Calibri" w:hAnsi="Calibri"/>
          <w:sz w:val="22"/>
        </w:rPr>
        <w:t>s</w:t>
      </w:r>
      <w:proofErr w:type="spellEnd"/>
      <w:r w:rsidRPr="007C370C">
        <w:rPr>
          <w:rFonts w:ascii="Calibri" w:hAnsi="Calibri"/>
          <w:sz w:val="22"/>
        </w:rPr>
        <w:t xml:space="preserve"> reserves as of December 31, 2017 using forecast prices and costs</w:t>
      </w:r>
      <w:r w:rsidR="006E6811">
        <w:rPr>
          <w:rFonts w:ascii="Calibri" w:hAnsi="Calibri"/>
          <w:sz w:val="22"/>
        </w:rPr>
        <w:t xml:space="preserve"> </w:t>
      </w:r>
      <w:r w:rsidR="00166B84">
        <w:rPr>
          <w:rFonts w:ascii="Calibri" w:hAnsi="Calibri"/>
          <w:sz w:val="22"/>
        </w:rPr>
        <w:t>with respect to t</w:t>
      </w:r>
      <w:r w:rsidR="008B45EA">
        <w:rPr>
          <w:rFonts w:ascii="Calibri" w:hAnsi="Calibri"/>
          <w:sz w:val="22"/>
        </w:rPr>
        <w:t xml:space="preserve">he </w:t>
      </w:r>
      <w:r w:rsidR="006E6811">
        <w:rPr>
          <w:rFonts w:ascii="Calibri" w:hAnsi="Calibri"/>
          <w:sz w:val="22"/>
        </w:rPr>
        <w:t xml:space="preserve">Santo Domingo, </w:t>
      </w:r>
      <w:proofErr w:type="spellStart"/>
      <w:r w:rsidR="006E6811">
        <w:rPr>
          <w:rFonts w:ascii="Calibri" w:hAnsi="Calibri"/>
          <w:sz w:val="22"/>
        </w:rPr>
        <w:t>Cohembi</w:t>
      </w:r>
      <w:proofErr w:type="spellEnd"/>
      <w:r w:rsidR="006E6811">
        <w:rPr>
          <w:rFonts w:ascii="Calibri" w:hAnsi="Calibri"/>
          <w:sz w:val="22"/>
        </w:rPr>
        <w:t>,</w:t>
      </w:r>
      <w:r w:rsidR="006E6811" w:rsidRPr="006E6811">
        <w:rPr>
          <w:rFonts w:ascii="Calibri" w:hAnsi="Calibri"/>
          <w:szCs w:val="20"/>
        </w:rPr>
        <w:t xml:space="preserve"> </w:t>
      </w:r>
      <w:proofErr w:type="spellStart"/>
      <w:r w:rsidR="006E6811" w:rsidRPr="006E6811">
        <w:rPr>
          <w:rFonts w:ascii="Calibri" w:hAnsi="Calibri"/>
          <w:sz w:val="22"/>
        </w:rPr>
        <w:t>Piñuña-Quillacinga</w:t>
      </w:r>
      <w:proofErr w:type="spellEnd"/>
      <w:r w:rsidR="006E6811">
        <w:rPr>
          <w:rFonts w:ascii="Calibri" w:hAnsi="Calibri"/>
          <w:sz w:val="22"/>
        </w:rPr>
        <w:t xml:space="preserve">, </w:t>
      </w:r>
      <w:r w:rsidR="00777751">
        <w:rPr>
          <w:rFonts w:ascii="Calibri" w:hAnsi="Calibri"/>
          <w:sz w:val="22"/>
        </w:rPr>
        <w:t xml:space="preserve">and </w:t>
      </w:r>
      <w:proofErr w:type="spellStart"/>
      <w:r w:rsidR="00777751">
        <w:rPr>
          <w:rFonts w:ascii="Calibri" w:hAnsi="Calibri"/>
          <w:sz w:val="22"/>
        </w:rPr>
        <w:t>Quinde</w:t>
      </w:r>
      <w:proofErr w:type="spellEnd"/>
      <w:r w:rsidR="00777751">
        <w:rPr>
          <w:rFonts w:ascii="Calibri" w:hAnsi="Calibri"/>
          <w:sz w:val="22"/>
        </w:rPr>
        <w:t xml:space="preserve"> </w:t>
      </w:r>
      <w:r w:rsidR="00166B84">
        <w:rPr>
          <w:rFonts w:ascii="Calibri" w:hAnsi="Calibri"/>
          <w:sz w:val="22"/>
        </w:rPr>
        <w:t xml:space="preserve">fields </w:t>
      </w:r>
      <w:r w:rsidR="00621DC7">
        <w:rPr>
          <w:rFonts w:ascii="Calibri" w:hAnsi="Calibri"/>
          <w:sz w:val="22"/>
        </w:rPr>
        <w:t>of</w:t>
      </w:r>
      <w:r w:rsidR="00777751">
        <w:rPr>
          <w:rFonts w:ascii="Calibri" w:hAnsi="Calibri"/>
          <w:sz w:val="22"/>
        </w:rPr>
        <w:t xml:space="preserve"> the La Punta</w:t>
      </w:r>
      <w:r w:rsidR="00B6783A">
        <w:rPr>
          <w:rFonts w:ascii="Calibri" w:hAnsi="Calibri"/>
          <w:sz w:val="22"/>
        </w:rPr>
        <w:t xml:space="preserve"> and</w:t>
      </w:r>
      <w:r w:rsidR="00777751">
        <w:rPr>
          <w:rFonts w:ascii="Calibri" w:hAnsi="Calibri"/>
          <w:sz w:val="22"/>
        </w:rPr>
        <w:t xml:space="preserve"> Suroriente</w:t>
      </w:r>
      <w:r w:rsidR="00B6783A">
        <w:rPr>
          <w:rFonts w:ascii="Calibri" w:hAnsi="Calibri"/>
          <w:sz w:val="22"/>
        </w:rPr>
        <w:t xml:space="preserve"> blocks</w:t>
      </w:r>
      <w:r w:rsidR="006E6811">
        <w:rPr>
          <w:rFonts w:ascii="Calibri" w:hAnsi="Calibri"/>
          <w:sz w:val="22"/>
        </w:rPr>
        <w:t>.</w:t>
      </w:r>
    </w:p>
    <w:tbl>
      <w:tblPr>
        <w:tblW w:w="9378" w:type="dxa"/>
        <w:jc w:val="center"/>
        <w:tblLook w:val="01E0" w:firstRow="1" w:lastRow="1" w:firstColumn="1" w:lastColumn="1" w:noHBand="0" w:noVBand="0"/>
      </w:tblPr>
      <w:tblGrid>
        <w:gridCol w:w="3798"/>
        <w:gridCol w:w="2880"/>
        <w:gridCol w:w="2700"/>
      </w:tblGrid>
      <w:tr w:rsidR="007C370C" w:rsidRPr="007C370C" w14:paraId="66FF1221" w14:textId="77777777" w:rsidTr="00166B84">
        <w:trPr>
          <w:tblHeader/>
          <w:jc w:val="center"/>
        </w:trPr>
        <w:tc>
          <w:tcPr>
            <w:tcW w:w="3798" w:type="dxa"/>
            <w:vMerge w:val="restart"/>
            <w:shd w:val="clear" w:color="auto" w:fill="D9D9D9"/>
            <w:vAlign w:val="bottom"/>
          </w:tcPr>
          <w:p w14:paraId="0DED1156" w14:textId="77777777" w:rsidR="007C370C" w:rsidRPr="007C370C" w:rsidRDefault="007C370C" w:rsidP="007A58D2">
            <w:pPr>
              <w:pStyle w:val="BodyText"/>
              <w:widowControl w:val="0"/>
              <w:spacing w:after="20"/>
              <w:rPr>
                <w:rFonts w:ascii="Calibri" w:hAnsi="Calibri"/>
                <w:b/>
                <w:szCs w:val="20"/>
              </w:rPr>
            </w:pPr>
          </w:p>
        </w:tc>
        <w:tc>
          <w:tcPr>
            <w:tcW w:w="5580" w:type="dxa"/>
            <w:gridSpan w:val="2"/>
            <w:shd w:val="clear" w:color="auto" w:fill="D9D9D9"/>
            <w:noWrap/>
            <w:vAlign w:val="bottom"/>
          </w:tcPr>
          <w:p w14:paraId="5ABEDBB2" w14:textId="77777777" w:rsidR="007C370C" w:rsidRPr="007C370C" w:rsidRDefault="007C370C" w:rsidP="007A58D2">
            <w:pPr>
              <w:pStyle w:val="BodyText"/>
              <w:widowControl w:val="0"/>
              <w:pBdr>
                <w:bottom w:val="single" w:sz="4" w:space="1" w:color="auto"/>
              </w:pBdr>
              <w:spacing w:after="20"/>
              <w:jc w:val="center"/>
              <w:rPr>
                <w:rFonts w:ascii="Calibri" w:hAnsi="Calibri"/>
                <w:b/>
                <w:szCs w:val="20"/>
              </w:rPr>
            </w:pPr>
            <w:r w:rsidRPr="007C370C">
              <w:rPr>
                <w:rFonts w:ascii="Calibri" w:hAnsi="Calibri"/>
                <w:b/>
                <w:szCs w:val="20"/>
              </w:rPr>
              <w:t>Oil Reserves</w:t>
            </w:r>
          </w:p>
        </w:tc>
      </w:tr>
      <w:tr w:rsidR="007C370C" w:rsidRPr="007C370C" w14:paraId="3695E869" w14:textId="77777777" w:rsidTr="00166B84">
        <w:trPr>
          <w:tblHeader/>
          <w:jc w:val="center"/>
        </w:trPr>
        <w:tc>
          <w:tcPr>
            <w:tcW w:w="3798" w:type="dxa"/>
            <w:vMerge/>
            <w:shd w:val="clear" w:color="auto" w:fill="D9D9D9"/>
            <w:vAlign w:val="bottom"/>
          </w:tcPr>
          <w:p w14:paraId="62676D5A" w14:textId="77777777" w:rsidR="007C370C" w:rsidRPr="007C370C" w:rsidRDefault="007C370C" w:rsidP="007A58D2">
            <w:pPr>
              <w:pStyle w:val="BodyText"/>
              <w:widowControl w:val="0"/>
              <w:spacing w:after="20"/>
              <w:rPr>
                <w:rFonts w:ascii="Calibri" w:hAnsi="Calibri"/>
                <w:b/>
                <w:szCs w:val="20"/>
              </w:rPr>
            </w:pPr>
          </w:p>
        </w:tc>
        <w:tc>
          <w:tcPr>
            <w:tcW w:w="2880" w:type="dxa"/>
            <w:shd w:val="clear" w:color="auto" w:fill="D9D9D9"/>
            <w:noWrap/>
            <w:vAlign w:val="bottom"/>
          </w:tcPr>
          <w:p w14:paraId="34DB0F15" w14:textId="77777777" w:rsidR="007C370C" w:rsidRPr="007C370C" w:rsidRDefault="007C370C" w:rsidP="007A58D2">
            <w:pPr>
              <w:pStyle w:val="BodyText"/>
              <w:widowControl w:val="0"/>
              <w:spacing w:after="20"/>
              <w:jc w:val="center"/>
              <w:rPr>
                <w:rFonts w:ascii="Calibri" w:hAnsi="Calibri"/>
                <w:b/>
                <w:szCs w:val="20"/>
                <w:vertAlign w:val="superscript"/>
              </w:rPr>
            </w:pPr>
            <w:r w:rsidRPr="007C370C">
              <w:rPr>
                <w:rFonts w:ascii="Calibri" w:hAnsi="Calibri"/>
                <w:b/>
                <w:szCs w:val="20"/>
              </w:rPr>
              <w:t>Gross</w:t>
            </w:r>
            <w:r w:rsidRPr="007C370C">
              <w:rPr>
                <w:rFonts w:ascii="Calibri" w:hAnsi="Calibri"/>
                <w:b/>
                <w:szCs w:val="20"/>
                <w:vertAlign w:val="superscript"/>
              </w:rPr>
              <w:t>(1)</w:t>
            </w:r>
          </w:p>
        </w:tc>
        <w:tc>
          <w:tcPr>
            <w:tcW w:w="2700" w:type="dxa"/>
            <w:shd w:val="clear" w:color="auto" w:fill="D9D9D9"/>
            <w:noWrap/>
            <w:vAlign w:val="bottom"/>
          </w:tcPr>
          <w:p w14:paraId="52DE55FF" w14:textId="77777777" w:rsidR="007C370C" w:rsidRPr="007C370C" w:rsidRDefault="007C370C" w:rsidP="007A58D2">
            <w:pPr>
              <w:pStyle w:val="BodyText"/>
              <w:widowControl w:val="0"/>
              <w:spacing w:after="20"/>
              <w:jc w:val="center"/>
              <w:rPr>
                <w:rFonts w:ascii="Calibri" w:hAnsi="Calibri"/>
                <w:b/>
                <w:szCs w:val="20"/>
              </w:rPr>
            </w:pPr>
            <w:r w:rsidRPr="007C370C">
              <w:rPr>
                <w:rFonts w:ascii="Calibri" w:hAnsi="Calibri"/>
                <w:b/>
                <w:szCs w:val="20"/>
              </w:rPr>
              <w:t>Net</w:t>
            </w:r>
            <w:r w:rsidRPr="007C370C">
              <w:rPr>
                <w:rFonts w:ascii="Calibri" w:hAnsi="Calibri"/>
                <w:b/>
                <w:szCs w:val="20"/>
                <w:vertAlign w:val="superscript"/>
              </w:rPr>
              <w:t>(2)</w:t>
            </w:r>
          </w:p>
        </w:tc>
      </w:tr>
      <w:tr w:rsidR="007C370C" w:rsidRPr="007C370C" w14:paraId="3F20BDA7" w14:textId="77777777" w:rsidTr="00166B84">
        <w:trPr>
          <w:tblHeader/>
          <w:jc w:val="center"/>
        </w:trPr>
        <w:tc>
          <w:tcPr>
            <w:tcW w:w="3798" w:type="dxa"/>
            <w:vMerge/>
            <w:shd w:val="clear" w:color="auto" w:fill="D9D9D9"/>
            <w:vAlign w:val="bottom"/>
          </w:tcPr>
          <w:p w14:paraId="3001D6A4" w14:textId="77777777" w:rsidR="007C370C" w:rsidRPr="007C370C" w:rsidRDefault="007C370C" w:rsidP="007A58D2">
            <w:pPr>
              <w:pStyle w:val="BodyText"/>
              <w:widowControl w:val="0"/>
              <w:spacing w:after="20"/>
              <w:rPr>
                <w:rFonts w:ascii="Calibri" w:hAnsi="Calibri"/>
                <w:b/>
                <w:szCs w:val="20"/>
              </w:rPr>
            </w:pPr>
          </w:p>
        </w:tc>
        <w:tc>
          <w:tcPr>
            <w:tcW w:w="2880" w:type="dxa"/>
            <w:shd w:val="clear" w:color="auto" w:fill="D9D9D9"/>
            <w:noWrap/>
            <w:vAlign w:val="bottom"/>
          </w:tcPr>
          <w:p w14:paraId="51942AE4" w14:textId="77777777" w:rsidR="007C370C" w:rsidRPr="007C370C" w:rsidRDefault="007C370C" w:rsidP="007A58D2">
            <w:pPr>
              <w:pStyle w:val="BodyText"/>
              <w:widowControl w:val="0"/>
              <w:pBdr>
                <w:bottom w:val="single" w:sz="4" w:space="1" w:color="auto"/>
              </w:pBdr>
              <w:spacing w:after="20"/>
              <w:jc w:val="center"/>
              <w:rPr>
                <w:rFonts w:ascii="Calibri" w:hAnsi="Calibri"/>
                <w:b/>
                <w:szCs w:val="20"/>
              </w:rPr>
            </w:pPr>
            <w:r w:rsidRPr="007C370C">
              <w:rPr>
                <w:rFonts w:ascii="Calibri" w:hAnsi="Calibri"/>
                <w:b/>
                <w:szCs w:val="20"/>
              </w:rPr>
              <w:t>(Mbbl)</w:t>
            </w:r>
          </w:p>
        </w:tc>
        <w:tc>
          <w:tcPr>
            <w:tcW w:w="2700" w:type="dxa"/>
            <w:shd w:val="clear" w:color="auto" w:fill="D9D9D9"/>
            <w:noWrap/>
            <w:vAlign w:val="bottom"/>
          </w:tcPr>
          <w:p w14:paraId="3C3E5A73" w14:textId="77777777" w:rsidR="007C370C" w:rsidRPr="007C370C" w:rsidRDefault="007C370C" w:rsidP="007A58D2">
            <w:pPr>
              <w:pStyle w:val="BodyText"/>
              <w:widowControl w:val="0"/>
              <w:pBdr>
                <w:bottom w:val="single" w:sz="4" w:space="1" w:color="auto"/>
              </w:pBdr>
              <w:spacing w:after="20"/>
              <w:jc w:val="center"/>
              <w:rPr>
                <w:rFonts w:ascii="Calibri" w:hAnsi="Calibri"/>
                <w:b/>
                <w:szCs w:val="20"/>
              </w:rPr>
            </w:pPr>
            <w:r w:rsidRPr="007C370C">
              <w:rPr>
                <w:rFonts w:ascii="Calibri" w:hAnsi="Calibri"/>
                <w:b/>
                <w:szCs w:val="20"/>
              </w:rPr>
              <w:t>(Mbbl)</w:t>
            </w:r>
          </w:p>
        </w:tc>
      </w:tr>
      <w:tr w:rsidR="007C370C" w:rsidRPr="007C370C" w14:paraId="7B97F49C" w14:textId="77777777" w:rsidTr="00166B84">
        <w:trPr>
          <w:jc w:val="center"/>
        </w:trPr>
        <w:tc>
          <w:tcPr>
            <w:tcW w:w="3798" w:type="dxa"/>
            <w:noWrap/>
            <w:vAlign w:val="bottom"/>
          </w:tcPr>
          <w:p w14:paraId="66187B45" w14:textId="77777777" w:rsidR="007C370C" w:rsidRPr="007C370C" w:rsidRDefault="007C370C" w:rsidP="007A58D2">
            <w:pPr>
              <w:pStyle w:val="BodyText"/>
              <w:widowControl w:val="0"/>
              <w:spacing w:after="20"/>
              <w:rPr>
                <w:rFonts w:ascii="Calibri" w:hAnsi="Calibri"/>
                <w:szCs w:val="20"/>
              </w:rPr>
            </w:pPr>
            <w:r w:rsidRPr="007C370C">
              <w:rPr>
                <w:rFonts w:ascii="Calibri" w:hAnsi="Calibri"/>
                <w:szCs w:val="20"/>
              </w:rPr>
              <w:t>Proved</w:t>
            </w:r>
          </w:p>
        </w:tc>
        <w:tc>
          <w:tcPr>
            <w:tcW w:w="2880" w:type="dxa"/>
            <w:noWrap/>
          </w:tcPr>
          <w:p w14:paraId="543DEA78" w14:textId="77777777" w:rsidR="007C370C" w:rsidRPr="007C370C" w:rsidRDefault="007C370C" w:rsidP="007A58D2">
            <w:pPr>
              <w:pStyle w:val="BodyText"/>
              <w:widowControl w:val="0"/>
              <w:spacing w:after="20"/>
              <w:jc w:val="right"/>
              <w:rPr>
                <w:rFonts w:ascii="Calibri" w:hAnsi="Calibri"/>
                <w:szCs w:val="20"/>
              </w:rPr>
            </w:pPr>
          </w:p>
        </w:tc>
        <w:tc>
          <w:tcPr>
            <w:tcW w:w="2700" w:type="dxa"/>
            <w:noWrap/>
          </w:tcPr>
          <w:p w14:paraId="6658E6B7" w14:textId="77777777" w:rsidR="007C370C" w:rsidRPr="007C370C" w:rsidRDefault="007C370C" w:rsidP="007A58D2">
            <w:pPr>
              <w:pStyle w:val="BodyText"/>
              <w:widowControl w:val="0"/>
              <w:spacing w:after="20"/>
              <w:jc w:val="right"/>
              <w:rPr>
                <w:rFonts w:ascii="Calibri" w:hAnsi="Calibri"/>
                <w:szCs w:val="20"/>
              </w:rPr>
            </w:pPr>
          </w:p>
        </w:tc>
      </w:tr>
      <w:tr w:rsidR="007C370C" w:rsidRPr="007C370C" w14:paraId="1806A593" w14:textId="77777777" w:rsidTr="00166B84">
        <w:trPr>
          <w:trHeight w:val="66"/>
          <w:jc w:val="center"/>
        </w:trPr>
        <w:tc>
          <w:tcPr>
            <w:tcW w:w="3798" w:type="dxa"/>
            <w:noWrap/>
            <w:vAlign w:val="bottom"/>
          </w:tcPr>
          <w:p w14:paraId="0F9007BA" w14:textId="77777777" w:rsidR="007C370C" w:rsidRPr="007C370C" w:rsidRDefault="007C370C" w:rsidP="007C370C">
            <w:pPr>
              <w:pStyle w:val="BodyText"/>
              <w:widowControl w:val="0"/>
              <w:tabs>
                <w:tab w:val="left" w:pos="270"/>
              </w:tabs>
              <w:spacing w:after="20"/>
              <w:rPr>
                <w:rFonts w:ascii="Calibri" w:hAnsi="Calibri"/>
                <w:szCs w:val="20"/>
              </w:rPr>
            </w:pPr>
            <w:r w:rsidRPr="007C370C">
              <w:rPr>
                <w:rFonts w:ascii="Calibri" w:hAnsi="Calibri"/>
                <w:szCs w:val="20"/>
              </w:rPr>
              <w:tab/>
              <w:t xml:space="preserve">Developed </w:t>
            </w:r>
          </w:p>
        </w:tc>
        <w:tc>
          <w:tcPr>
            <w:tcW w:w="2880" w:type="dxa"/>
            <w:noWrap/>
          </w:tcPr>
          <w:p w14:paraId="23851236" w14:textId="77777777" w:rsidR="007C370C" w:rsidRPr="007C370C" w:rsidRDefault="00E43296" w:rsidP="00B6783A">
            <w:pPr>
              <w:spacing w:after="20"/>
              <w:jc w:val="center"/>
              <w:rPr>
                <w:rFonts w:ascii="Calibri" w:hAnsi="Calibri"/>
                <w:szCs w:val="20"/>
              </w:rPr>
            </w:pPr>
            <w:r>
              <w:rPr>
                <w:rFonts w:ascii="Calibri" w:hAnsi="Calibri"/>
                <w:szCs w:val="20"/>
              </w:rPr>
              <w:t>6,</w:t>
            </w:r>
            <w:r w:rsidR="00B6783A">
              <w:rPr>
                <w:rFonts w:ascii="Calibri" w:hAnsi="Calibri"/>
                <w:szCs w:val="20"/>
              </w:rPr>
              <w:t>585</w:t>
            </w:r>
          </w:p>
        </w:tc>
        <w:tc>
          <w:tcPr>
            <w:tcW w:w="2700" w:type="dxa"/>
            <w:noWrap/>
          </w:tcPr>
          <w:p w14:paraId="43185877" w14:textId="77777777" w:rsidR="007C370C" w:rsidRPr="007C370C" w:rsidRDefault="00E43296" w:rsidP="004D22FC">
            <w:pPr>
              <w:spacing w:after="20"/>
              <w:jc w:val="center"/>
              <w:rPr>
                <w:rFonts w:ascii="Calibri" w:hAnsi="Calibri"/>
                <w:szCs w:val="20"/>
              </w:rPr>
            </w:pPr>
            <w:r>
              <w:rPr>
                <w:rFonts w:ascii="Calibri" w:hAnsi="Calibri"/>
                <w:szCs w:val="20"/>
              </w:rPr>
              <w:t>2,</w:t>
            </w:r>
            <w:r w:rsidR="004D22FC">
              <w:rPr>
                <w:rFonts w:ascii="Calibri" w:hAnsi="Calibri"/>
                <w:szCs w:val="20"/>
              </w:rPr>
              <w:t>272</w:t>
            </w:r>
          </w:p>
        </w:tc>
      </w:tr>
      <w:tr w:rsidR="007C370C" w:rsidRPr="007C370C" w14:paraId="01AA1F04" w14:textId="77777777" w:rsidTr="00166B84">
        <w:trPr>
          <w:jc w:val="center"/>
        </w:trPr>
        <w:tc>
          <w:tcPr>
            <w:tcW w:w="3798" w:type="dxa"/>
            <w:noWrap/>
            <w:vAlign w:val="bottom"/>
          </w:tcPr>
          <w:p w14:paraId="520AB1CC" w14:textId="77777777" w:rsidR="007C370C" w:rsidRPr="007C370C" w:rsidRDefault="007C370C" w:rsidP="007A58D2">
            <w:pPr>
              <w:pStyle w:val="BodyText"/>
              <w:widowControl w:val="0"/>
              <w:tabs>
                <w:tab w:val="left" w:pos="285"/>
              </w:tabs>
              <w:spacing w:after="20"/>
              <w:rPr>
                <w:rFonts w:ascii="Calibri" w:hAnsi="Calibri"/>
                <w:szCs w:val="20"/>
              </w:rPr>
            </w:pPr>
            <w:r w:rsidRPr="007C370C">
              <w:rPr>
                <w:rFonts w:ascii="Calibri" w:hAnsi="Calibri"/>
                <w:szCs w:val="20"/>
              </w:rPr>
              <w:tab/>
              <w:t>Undeveloped</w:t>
            </w:r>
          </w:p>
        </w:tc>
        <w:tc>
          <w:tcPr>
            <w:tcW w:w="2880" w:type="dxa"/>
            <w:noWrap/>
          </w:tcPr>
          <w:p w14:paraId="7F53BE31" w14:textId="77777777" w:rsidR="007C370C" w:rsidRPr="007C370C" w:rsidRDefault="00E43296" w:rsidP="00B6783A">
            <w:pPr>
              <w:spacing w:after="20"/>
              <w:jc w:val="center"/>
              <w:rPr>
                <w:rFonts w:ascii="Calibri" w:hAnsi="Calibri"/>
                <w:szCs w:val="20"/>
              </w:rPr>
            </w:pPr>
            <w:r>
              <w:rPr>
                <w:rFonts w:ascii="Calibri" w:hAnsi="Calibri"/>
                <w:szCs w:val="20"/>
              </w:rPr>
              <w:t>20,</w:t>
            </w:r>
            <w:r w:rsidR="00B6783A">
              <w:rPr>
                <w:rFonts w:ascii="Calibri" w:hAnsi="Calibri"/>
                <w:szCs w:val="20"/>
              </w:rPr>
              <w:t>021</w:t>
            </w:r>
          </w:p>
        </w:tc>
        <w:tc>
          <w:tcPr>
            <w:tcW w:w="2700" w:type="dxa"/>
            <w:noWrap/>
          </w:tcPr>
          <w:p w14:paraId="4AB44AE5" w14:textId="77777777" w:rsidR="007C370C" w:rsidRPr="007C370C" w:rsidRDefault="004D22FC" w:rsidP="004D22FC">
            <w:pPr>
              <w:spacing w:after="20"/>
              <w:jc w:val="center"/>
              <w:rPr>
                <w:rFonts w:ascii="Calibri" w:hAnsi="Calibri"/>
                <w:szCs w:val="20"/>
              </w:rPr>
            </w:pPr>
            <w:r>
              <w:rPr>
                <w:rFonts w:ascii="Calibri" w:hAnsi="Calibri"/>
                <w:szCs w:val="20"/>
              </w:rPr>
              <w:t>6</w:t>
            </w:r>
            <w:r w:rsidR="00E43296">
              <w:rPr>
                <w:rFonts w:ascii="Calibri" w:hAnsi="Calibri"/>
                <w:szCs w:val="20"/>
              </w:rPr>
              <w:t>,</w:t>
            </w:r>
            <w:r>
              <w:rPr>
                <w:rFonts w:ascii="Calibri" w:hAnsi="Calibri"/>
                <w:szCs w:val="20"/>
              </w:rPr>
              <w:t>664</w:t>
            </w:r>
          </w:p>
        </w:tc>
      </w:tr>
      <w:tr w:rsidR="007C370C" w:rsidRPr="007C370C" w14:paraId="04EE9ED2" w14:textId="77777777" w:rsidTr="00166B84">
        <w:trPr>
          <w:jc w:val="center"/>
        </w:trPr>
        <w:tc>
          <w:tcPr>
            <w:tcW w:w="3798" w:type="dxa"/>
            <w:noWrap/>
            <w:vAlign w:val="bottom"/>
          </w:tcPr>
          <w:p w14:paraId="76749E89" w14:textId="77777777" w:rsidR="007C370C" w:rsidRPr="007C370C" w:rsidRDefault="007C370C" w:rsidP="007A58D2">
            <w:pPr>
              <w:pStyle w:val="BodyText"/>
              <w:widowControl w:val="0"/>
              <w:spacing w:after="20"/>
              <w:rPr>
                <w:rFonts w:ascii="Calibri" w:hAnsi="Calibri"/>
                <w:b/>
                <w:szCs w:val="20"/>
              </w:rPr>
            </w:pPr>
            <w:r w:rsidRPr="007C370C">
              <w:rPr>
                <w:rFonts w:ascii="Calibri" w:hAnsi="Calibri"/>
                <w:b/>
                <w:szCs w:val="20"/>
              </w:rPr>
              <w:t>Total Proved</w:t>
            </w:r>
          </w:p>
        </w:tc>
        <w:tc>
          <w:tcPr>
            <w:tcW w:w="2880" w:type="dxa"/>
            <w:noWrap/>
          </w:tcPr>
          <w:p w14:paraId="72F2F5EA" w14:textId="77777777" w:rsidR="007C370C" w:rsidRPr="007C370C" w:rsidRDefault="00E43296" w:rsidP="00B6783A">
            <w:pPr>
              <w:spacing w:after="20"/>
              <w:jc w:val="center"/>
              <w:rPr>
                <w:rFonts w:ascii="Calibri" w:hAnsi="Calibri"/>
                <w:b/>
                <w:szCs w:val="20"/>
              </w:rPr>
            </w:pPr>
            <w:r>
              <w:rPr>
                <w:rFonts w:ascii="Calibri" w:hAnsi="Calibri"/>
                <w:b/>
                <w:szCs w:val="20"/>
              </w:rPr>
              <w:t>2</w:t>
            </w:r>
            <w:r w:rsidR="00B6783A">
              <w:rPr>
                <w:rFonts w:ascii="Calibri" w:hAnsi="Calibri"/>
                <w:b/>
                <w:szCs w:val="20"/>
              </w:rPr>
              <w:t>6</w:t>
            </w:r>
            <w:r>
              <w:rPr>
                <w:rFonts w:ascii="Calibri" w:hAnsi="Calibri"/>
                <w:b/>
                <w:szCs w:val="20"/>
              </w:rPr>
              <w:t>,</w:t>
            </w:r>
            <w:r w:rsidR="00B6783A">
              <w:rPr>
                <w:rFonts w:ascii="Calibri" w:hAnsi="Calibri"/>
                <w:b/>
                <w:szCs w:val="20"/>
              </w:rPr>
              <w:t>606</w:t>
            </w:r>
          </w:p>
        </w:tc>
        <w:tc>
          <w:tcPr>
            <w:tcW w:w="2700" w:type="dxa"/>
            <w:noWrap/>
          </w:tcPr>
          <w:p w14:paraId="6DD0F908" w14:textId="77777777" w:rsidR="007C370C" w:rsidRPr="007C370C" w:rsidRDefault="004D22FC" w:rsidP="004D22FC">
            <w:pPr>
              <w:spacing w:after="20"/>
              <w:jc w:val="center"/>
              <w:rPr>
                <w:rFonts w:ascii="Calibri" w:hAnsi="Calibri"/>
                <w:b/>
                <w:szCs w:val="20"/>
              </w:rPr>
            </w:pPr>
            <w:r>
              <w:rPr>
                <w:rFonts w:ascii="Calibri" w:hAnsi="Calibri"/>
                <w:b/>
                <w:szCs w:val="20"/>
              </w:rPr>
              <w:t>8</w:t>
            </w:r>
            <w:r w:rsidR="00E43296">
              <w:rPr>
                <w:rFonts w:ascii="Calibri" w:hAnsi="Calibri"/>
                <w:b/>
                <w:szCs w:val="20"/>
              </w:rPr>
              <w:t>,</w:t>
            </w:r>
            <w:r>
              <w:rPr>
                <w:rFonts w:ascii="Calibri" w:hAnsi="Calibri"/>
                <w:b/>
                <w:szCs w:val="20"/>
              </w:rPr>
              <w:t>936</w:t>
            </w:r>
          </w:p>
        </w:tc>
      </w:tr>
      <w:tr w:rsidR="007C370C" w:rsidRPr="007C370C" w14:paraId="2BB2D015" w14:textId="77777777" w:rsidTr="00166B84">
        <w:trPr>
          <w:jc w:val="center"/>
        </w:trPr>
        <w:tc>
          <w:tcPr>
            <w:tcW w:w="3798" w:type="dxa"/>
            <w:noWrap/>
            <w:vAlign w:val="bottom"/>
          </w:tcPr>
          <w:p w14:paraId="514F9BF4" w14:textId="77777777" w:rsidR="007C370C" w:rsidRPr="007C370C" w:rsidRDefault="007C370C" w:rsidP="007A58D2">
            <w:pPr>
              <w:pStyle w:val="BodyText"/>
              <w:widowControl w:val="0"/>
              <w:spacing w:after="20"/>
              <w:rPr>
                <w:rFonts w:ascii="Calibri" w:hAnsi="Calibri"/>
                <w:szCs w:val="20"/>
              </w:rPr>
            </w:pPr>
            <w:r w:rsidRPr="007C370C">
              <w:rPr>
                <w:rFonts w:ascii="Calibri" w:hAnsi="Calibri"/>
                <w:szCs w:val="20"/>
              </w:rPr>
              <w:t>Probable</w:t>
            </w:r>
          </w:p>
        </w:tc>
        <w:tc>
          <w:tcPr>
            <w:tcW w:w="2880" w:type="dxa"/>
            <w:noWrap/>
          </w:tcPr>
          <w:p w14:paraId="761ECC49" w14:textId="77777777" w:rsidR="007C370C" w:rsidRPr="007C370C" w:rsidRDefault="00E43296" w:rsidP="00B6783A">
            <w:pPr>
              <w:spacing w:after="20"/>
              <w:jc w:val="center"/>
              <w:rPr>
                <w:rFonts w:ascii="Calibri" w:hAnsi="Calibri"/>
                <w:szCs w:val="20"/>
              </w:rPr>
            </w:pPr>
            <w:r>
              <w:rPr>
                <w:rFonts w:ascii="Calibri" w:hAnsi="Calibri"/>
                <w:szCs w:val="20"/>
              </w:rPr>
              <w:t>1</w:t>
            </w:r>
            <w:r w:rsidR="00B6783A">
              <w:rPr>
                <w:rFonts w:ascii="Calibri" w:hAnsi="Calibri"/>
                <w:szCs w:val="20"/>
              </w:rPr>
              <w:t>6</w:t>
            </w:r>
            <w:r>
              <w:rPr>
                <w:rFonts w:ascii="Calibri" w:hAnsi="Calibri"/>
                <w:szCs w:val="20"/>
              </w:rPr>
              <w:t>,</w:t>
            </w:r>
            <w:r w:rsidR="00B6783A">
              <w:rPr>
                <w:rFonts w:ascii="Calibri" w:hAnsi="Calibri"/>
                <w:szCs w:val="20"/>
              </w:rPr>
              <w:t>883</w:t>
            </w:r>
          </w:p>
        </w:tc>
        <w:tc>
          <w:tcPr>
            <w:tcW w:w="2700" w:type="dxa"/>
            <w:noWrap/>
          </w:tcPr>
          <w:p w14:paraId="168FF4E6" w14:textId="77777777" w:rsidR="007C370C" w:rsidRPr="007C370C" w:rsidRDefault="004D22FC" w:rsidP="004D22FC">
            <w:pPr>
              <w:spacing w:after="20"/>
              <w:jc w:val="center"/>
              <w:rPr>
                <w:rFonts w:ascii="Calibri" w:hAnsi="Calibri"/>
                <w:szCs w:val="20"/>
              </w:rPr>
            </w:pPr>
            <w:r>
              <w:rPr>
                <w:rFonts w:ascii="Calibri" w:hAnsi="Calibri"/>
                <w:szCs w:val="20"/>
              </w:rPr>
              <w:t>5</w:t>
            </w:r>
            <w:r w:rsidR="00E43296">
              <w:rPr>
                <w:rFonts w:ascii="Calibri" w:hAnsi="Calibri"/>
                <w:szCs w:val="20"/>
              </w:rPr>
              <w:t>,</w:t>
            </w:r>
            <w:r>
              <w:rPr>
                <w:rFonts w:ascii="Calibri" w:hAnsi="Calibri"/>
                <w:szCs w:val="20"/>
              </w:rPr>
              <w:t>554</w:t>
            </w:r>
          </w:p>
        </w:tc>
      </w:tr>
      <w:tr w:rsidR="007C370C" w:rsidRPr="007C370C" w14:paraId="40675365" w14:textId="77777777" w:rsidTr="00166B84">
        <w:trPr>
          <w:jc w:val="center"/>
        </w:trPr>
        <w:tc>
          <w:tcPr>
            <w:tcW w:w="3798" w:type="dxa"/>
            <w:noWrap/>
            <w:vAlign w:val="bottom"/>
          </w:tcPr>
          <w:p w14:paraId="05E575C5" w14:textId="77777777" w:rsidR="007C370C" w:rsidRPr="007C370C" w:rsidRDefault="007C370C" w:rsidP="007A58D2">
            <w:pPr>
              <w:pStyle w:val="BodyText"/>
              <w:widowControl w:val="0"/>
              <w:spacing w:after="20"/>
              <w:rPr>
                <w:rFonts w:ascii="Calibri" w:hAnsi="Calibri"/>
                <w:b/>
                <w:szCs w:val="20"/>
              </w:rPr>
            </w:pPr>
            <w:r w:rsidRPr="007C370C">
              <w:rPr>
                <w:rFonts w:ascii="Calibri" w:hAnsi="Calibri"/>
                <w:b/>
                <w:szCs w:val="20"/>
              </w:rPr>
              <w:t>Total Proved Plus Probable</w:t>
            </w:r>
          </w:p>
        </w:tc>
        <w:tc>
          <w:tcPr>
            <w:tcW w:w="2880" w:type="dxa"/>
            <w:noWrap/>
          </w:tcPr>
          <w:p w14:paraId="4EE3CCA0" w14:textId="77777777" w:rsidR="007C370C" w:rsidRPr="007C370C" w:rsidRDefault="00E43296" w:rsidP="00B6783A">
            <w:pPr>
              <w:spacing w:after="20"/>
              <w:jc w:val="center"/>
              <w:rPr>
                <w:rFonts w:ascii="Calibri" w:hAnsi="Calibri"/>
                <w:b/>
                <w:szCs w:val="20"/>
              </w:rPr>
            </w:pPr>
            <w:r>
              <w:rPr>
                <w:rFonts w:ascii="Calibri" w:hAnsi="Calibri"/>
                <w:b/>
                <w:szCs w:val="20"/>
              </w:rPr>
              <w:t>4</w:t>
            </w:r>
            <w:r w:rsidR="00B6783A">
              <w:rPr>
                <w:rFonts w:ascii="Calibri" w:hAnsi="Calibri"/>
                <w:b/>
                <w:szCs w:val="20"/>
              </w:rPr>
              <w:t>3</w:t>
            </w:r>
            <w:r>
              <w:rPr>
                <w:rFonts w:ascii="Calibri" w:hAnsi="Calibri"/>
                <w:b/>
                <w:szCs w:val="20"/>
              </w:rPr>
              <w:t>,</w:t>
            </w:r>
            <w:r w:rsidR="00B6783A">
              <w:rPr>
                <w:rFonts w:ascii="Calibri" w:hAnsi="Calibri"/>
                <w:b/>
                <w:szCs w:val="20"/>
              </w:rPr>
              <w:t>489</w:t>
            </w:r>
          </w:p>
        </w:tc>
        <w:tc>
          <w:tcPr>
            <w:tcW w:w="2700" w:type="dxa"/>
            <w:noWrap/>
          </w:tcPr>
          <w:p w14:paraId="142DE999" w14:textId="77777777" w:rsidR="007C370C" w:rsidRPr="007C370C" w:rsidRDefault="00E43296" w:rsidP="004D22FC">
            <w:pPr>
              <w:spacing w:after="20"/>
              <w:jc w:val="center"/>
              <w:rPr>
                <w:rFonts w:ascii="Calibri" w:hAnsi="Calibri"/>
                <w:b/>
                <w:szCs w:val="20"/>
              </w:rPr>
            </w:pPr>
            <w:r>
              <w:rPr>
                <w:rFonts w:ascii="Calibri" w:hAnsi="Calibri"/>
                <w:b/>
                <w:szCs w:val="20"/>
              </w:rPr>
              <w:t>1</w:t>
            </w:r>
            <w:r w:rsidR="004D22FC">
              <w:rPr>
                <w:rFonts w:ascii="Calibri" w:hAnsi="Calibri"/>
                <w:b/>
                <w:szCs w:val="20"/>
              </w:rPr>
              <w:t>4</w:t>
            </w:r>
            <w:r>
              <w:rPr>
                <w:rFonts w:ascii="Calibri" w:hAnsi="Calibri"/>
                <w:b/>
                <w:szCs w:val="20"/>
              </w:rPr>
              <w:t>,</w:t>
            </w:r>
            <w:r w:rsidR="004D22FC">
              <w:rPr>
                <w:rFonts w:ascii="Calibri" w:hAnsi="Calibri"/>
                <w:b/>
                <w:szCs w:val="20"/>
              </w:rPr>
              <w:t>490</w:t>
            </w:r>
          </w:p>
        </w:tc>
      </w:tr>
      <w:tr w:rsidR="007C370C" w:rsidRPr="007C370C" w14:paraId="0F0A49A1" w14:textId="77777777" w:rsidTr="00166B84">
        <w:trPr>
          <w:jc w:val="center"/>
        </w:trPr>
        <w:tc>
          <w:tcPr>
            <w:tcW w:w="3798" w:type="dxa"/>
            <w:noWrap/>
            <w:vAlign w:val="bottom"/>
          </w:tcPr>
          <w:p w14:paraId="56F7281A" w14:textId="77777777" w:rsidR="007C370C" w:rsidRPr="007C370C" w:rsidRDefault="007C370C" w:rsidP="007A58D2">
            <w:pPr>
              <w:pStyle w:val="BodyText"/>
              <w:widowControl w:val="0"/>
              <w:spacing w:after="20"/>
              <w:rPr>
                <w:rFonts w:ascii="Calibri" w:hAnsi="Calibri"/>
                <w:szCs w:val="20"/>
              </w:rPr>
            </w:pPr>
            <w:r w:rsidRPr="007C370C">
              <w:rPr>
                <w:rFonts w:ascii="Calibri" w:hAnsi="Calibri"/>
                <w:szCs w:val="20"/>
              </w:rPr>
              <w:t>Possible</w:t>
            </w:r>
          </w:p>
        </w:tc>
        <w:tc>
          <w:tcPr>
            <w:tcW w:w="2880" w:type="dxa"/>
            <w:noWrap/>
          </w:tcPr>
          <w:p w14:paraId="62CA4230" w14:textId="77777777" w:rsidR="007C370C" w:rsidRPr="007C370C" w:rsidRDefault="00E43296" w:rsidP="00B6783A">
            <w:pPr>
              <w:spacing w:after="20"/>
              <w:jc w:val="center"/>
              <w:rPr>
                <w:rFonts w:ascii="Calibri" w:hAnsi="Calibri"/>
                <w:szCs w:val="20"/>
              </w:rPr>
            </w:pPr>
            <w:r>
              <w:rPr>
                <w:rFonts w:ascii="Calibri" w:hAnsi="Calibri"/>
                <w:szCs w:val="20"/>
              </w:rPr>
              <w:t>2</w:t>
            </w:r>
            <w:r w:rsidR="00B6783A">
              <w:rPr>
                <w:rFonts w:ascii="Calibri" w:hAnsi="Calibri"/>
                <w:szCs w:val="20"/>
              </w:rPr>
              <w:t>4</w:t>
            </w:r>
            <w:r>
              <w:rPr>
                <w:rFonts w:ascii="Calibri" w:hAnsi="Calibri"/>
                <w:szCs w:val="20"/>
              </w:rPr>
              <w:t>,</w:t>
            </w:r>
            <w:r w:rsidR="00B6783A">
              <w:rPr>
                <w:rFonts w:ascii="Calibri" w:hAnsi="Calibri"/>
                <w:szCs w:val="20"/>
              </w:rPr>
              <w:t>125</w:t>
            </w:r>
          </w:p>
        </w:tc>
        <w:tc>
          <w:tcPr>
            <w:tcW w:w="2700" w:type="dxa"/>
            <w:noWrap/>
          </w:tcPr>
          <w:p w14:paraId="045A15FD" w14:textId="77777777" w:rsidR="007C370C" w:rsidRPr="007C370C" w:rsidRDefault="004D22FC" w:rsidP="004D22FC">
            <w:pPr>
              <w:spacing w:after="20"/>
              <w:jc w:val="center"/>
              <w:rPr>
                <w:rFonts w:ascii="Calibri" w:hAnsi="Calibri"/>
                <w:szCs w:val="20"/>
              </w:rPr>
            </w:pPr>
            <w:r>
              <w:rPr>
                <w:rFonts w:ascii="Calibri" w:hAnsi="Calibri"/>
                <w:szCs w:val="20"/>
              </w:rPr>
              <w:t>7,780</w:t>
            </w:r>
          </w:p>
        </w:tc>
      </w:tr>
      <w:tr w:rsidR="007C370C" w:rsidRPr="007C370C" w14:paraId="2EE943DF" w14:textId="77777777" w:rsidTr="00166B84">
        <w:trPr>
          <w:trHeight w:val="162"/>
          <w:jc w:val="center"/>
        </w:trPr>
        <w:tc>
          <w:tcPr>
            <w:tcW w:w="3798" w:type="dxa"/>
            <w:noWrap/>
            <w:vAlign w:val="bottom"/>
          </w:tcPr>
          <w:p w14:paraId="18B75A3E" w14:textId="77777777" w:rsidR="007C370C" w:rsidRPr="007C370C" w:rsidRDefault="007C370C" w:rsidP="007A58D2">
            <w:pPr>
              <w:pStyle w:val="BodyText"/>
              <w:widowControl w:val="0"/>
              <w:spacing w:after="20"/>
              <w:rPr>
                <w:rFonts w:ascii="Calibri" w:hAnsi="Calibri"/>
                <w:b/>
                <w:szCs w:val="20"/>
              </w:rPr>
            </w:pPr>
            <w:r w:rsidRPr="007C370C">
              <w:rPr>
                <w:rFonts w:ascii="Calibri" w:hAnsi="Calibri"/>
                <w:b/>
                <w:szCs w:val="20"/>
              </w:rPr>
              <w:t>Total Proved Plus Probable Plus Possible</w:t>
            </w:r>
          </w:p>
        </w:tc>
        <w:tc>
          <w:tcPr>
            <w:tcW w:w="2880" w:type="dxa"/>
            <w:noWrap/>
          </w:tcPr>
          <w:p w14:paraId="4D0DAB34" w14:textId="77777777" w:rsidR="007C370C" w:rsidRPr="007C370C" w:rsidRDefault="00B6783A" w:rsidP="00B6783A">
            <w:pPr>
              <w:spacing w:after="20"/>
              <w:jc w:val="center"/>
              <w:rPr>
                <w:rFonts w:ascii="Calibri" w:hAnsi="Calibri"/>
                <w:b/>
                <w:szCs w:val="20"/>
              </w:rPr>
            </w:pPr>
            <w:r>
              <w:rPr>
                <w:rFonts w:ascii="Calibri" w:hAnsi="Calibri"/>
                <w:b/>
                <w:szCs w:val="20"/>
              </w:rPr>
              <w:t>67</w:t>
            </w:r>
            <w:r w:rsidR="002E2F48">
              <w:rPr>
                <w:rFonts w:ascii="Calibri" w:hAnsi="Calibri"/>
                <w:b/>
                <w:szCs w:val="20"/>
              </w:rPr>
              <w:t>,</w:t>
            </w:r>
            <w:r>
              <w:rPr>
                <w:rFonts w:ascii="Calibri" w:hAnsi="Calibri"/>
                <w:b/>
                <w:szCs w:val="20"/>
              </w:rPr>
              <w:t>614</w:t>
            </w:r>
          </w:p>
        </w:tc>
        <w:tc>
          <w:tcPr>
            <w:tcW w:w="2700" w:type="dxa"/>
            <w:noWrap/>
          </w:tcPr>
          <w:p w14:paraId="206DC9F3" w14:textId="77777777" w:rsidR="007C370C" w:rsidRPr="007C370C" w:rsidRDefault="002E2F48" w:rsidP="004D22FC">
            <w:pPr>
              <w:spacing w:after="20"/>
              <w:jc w:val="center"/>
              <w:rPr>
                <w:rFonts w:ascii="Calibri" w:hAnsi="Calibri"/>
                <w:b/>
                <w:szCs w:val="20"/>
              </w:rPr>
            </w:pPr>
            <w:r>
              <w:rPr>
                <w:rFonts w:ascii="Calibri" w:hAnsi="Calibri"/>
                <w:b/>
                <w:szCs w:val="20"/>
              </w:rPr>
              <w:t>2</w:t>
            </w:r>
            <w:r w:rsidR="004D22FC">
              <w:rPr>
                <w:rFonts w:ascii="Calibri" w:hAnsi="Calibri"/>
                <w:b/>
                <w:szCs w:val="20"/>
              </w:rPr>
              <w:t>2</w:t>
            </w:r>
            <w:r>
              <w:rPr>
                <w:rFonts w:ascii="Calibri" w:hAnsi="Calibri"/>
                <w:b/>
                <w:szCs w:val="20"/>
              </w:rPr>
              <w:t>,</w:t>
            </w:r>
            <w:r w:rsidR="004D22FC">
              <w:rPr>
                <w:rFonts w:ascii="Calibri" w:hAnsi="Calibri"/>
                <w:b/>
                <w:szCs w:val="20"/>
              </w:rPr>
              <w:t>270</w:t>
            </w:r>
          </w:p>
        </w:tc>
      </w:tr>
    </w:tbl>
    <w:p w14:paraId="621B2715" w14:textId="77777777" w:rsidR="007C370C" w:rsidRPr="007C370C" w:rsidRDefault="007C370C" w:rsidP="007C370C">
      <w:pPr>
        <w:pStyle w:val="NoteHeading"/>
        <w:widowControl w:val="0"/>
        <w:spacing w:before="120" w:after="120"/>
        <w:rPr>
          <w:rFonts w:ascii="Calibri" w:hAnsi="Calibri"/>
          <w:sz w:val="20"/>
          <w:szCs w:val="20"/>
        </w:rPr>
      </w:pPr>
      <w:r w:rsidRPr="007C370C">
        <w:rPr>
          <w:rFonts w:ascii="Calibri" w:hAnsi="Calibri"/>
          <w:sz w:val="20"/>
          <w:szCs w:val="20"/>
        </w:rPr>
        <w:t xml:space="preserve">Notes: </w:t>
      </w:r>
    </w:p>
    <w:p w14:paraId="46B72AFE" w14:textId="77777777" w:rsidR="007C370C" w:rsidRPr="007C370C" w:rsidRDefault="00BD7FA6" w:rsidP="007C370C">
      <w:pPr>
        <w:pStyle w:val="Notes"/>
        <w:widowControl w:val="0"/>
        <w:numPr>
          <w:ilvl w:val="0"/>
          <w:numId w:val="21"/>
        </w:numPr>
        <w:rPr>
          <w:rFonts w:ascii="Calibri" w:hAnsi="Calibri"/>
          <w:sz w:val="20"/>
        </w:rPr>
      </w:pPr>
      <w:r>
        <w:rPr>
          <w:rFonts w:ascii="Calibri" w:hAnsi="Calibri"/>
          <w:sz w:val="20"/>
        </w:rPr>
        <w:t>“</w:t>
      </w:r>
      <w:r w:rsidR="007C370C" w:rsidRPr="007C370C">
        <w:rPr>
          <w:rFonts w:ascii="Calibri" w:hAnsi="Calibri"/>
          <w:sz w:val="20"/>
        </w:rPr>
        <w:t>Gross Reserves</w:t>
      </w:r>
      <w:r>
        <w:rPr>
          <w:rFonts w:ascii="Calibri" w:hAnsi="Calibri"/>
          <w:sz w:val="20"/>
        </w:rPr>
        <w:t>”</w:t>
      </w:r>
      <w:r w:rsidR="007C370C" w:rsidRPr="007C370C">
        <w:rPr>
          <w:rFonts w:ascii="Calibri" w:hAnsi="Calibri"/>
          <w:sz w:val="20"/>
        </w:rPr>
        <w:t xml:space="preserve"> are </w:t>
      </w:r>
      <w:proofErr w:type="spellStart"/>
      <w:r w:rsidR="002E2F48">
        <w:rPr>
          <w:rFonts w:ascii="Calibri" w:hAnsi="Calibri"/>
          <w:sz w:val="20"/>
        </w:rPr>
        <w:t>Vetra</w:t>
      </w:r>
      <w:r>
        <w:rPr>
          <w:rFonts w:ascii="Calibri" w:hAnsi="Calibri"/>
          <w:sz w:val="20"/>
        </w:rPr>
        <w:t>’</w:t>
      </w:r>
      <w:r w:rsidR="002E2F48">
        <w:rPr>
          <w:rFonts w:ascii="Calibri" w:hAnsi="Calibri"/>
          <w:sz w:val="20"/>
        </w:rPr>
        <w:t>s</w:t>
      </w:r>
      <w:proofErr w:type="spellEnd"/>
      <w:r w:rsidR="007C370C" w:rsidRPr="007C370C">
        <w:rPr>
          <w:rFonts w:ascii="Calibri" w:hAnsi="Calibri"/>
          <w:sz w:val="20"/>
        </w:rPr>
        <w:t xml:space="preserve"> working interest reserves before the deduction of royalties.</w:t>
      </w:r>
    </w:p>
    <w:p w14:paraId="7BF92E5B" w14:textId="3B7B4D67" w:rsidR="007C370C" w:rsidRPr="007C370C" w:rsidRDefault="00BD7FA6" w:rsidP="007C370C">
      <w:pPr>
        <w:pStyle w:val="Notes"/>
        <w:widowControl w:val="0"/>
        <w:numPr>
          <w:ilvl w:val="0"/>
          <w:numId w:val="21"/>
        </w:numPr>
        <w:rPr>
          <w:rFonts w:ascii="Calibri" w:hAnsi="Calibri"/>
          <w:sz w:val="20"/>
        </w:rPr>
      </w:pPr>
      <w:r>
        <w:rPr>
          <w:rFonts w:ascii="Calibri" w:hAnsi="Calibri"/>
          <w:sz w:val="20"/>
        </w:rPr>
        <w:t>“</w:t>
      </w:r>
      <w:r w:rsidR="007C370C" w:rsidRPr="007C370C">
        <w:rPr>
          <w:rFonts w:ascii="Calibri" w:hAnsi="Calibri"/>
          <w:sz w:val="20"/>
        </w:rPr>
        <w:t>Net Reserves</w:t>
      </w:r>
      <w:r>
        <w:rPr>
          <w:rFonts w:ascii="Calibri" w:hAnsi="Calibri"/>
          <w:sz w:val="20"/>
        </w:rPr>
        <w:t>”</w:t>
      </w:r>
      <w:r w:rsidR="007C370C" w:rsidRPr="007C370C">
        <w:rPr>
          <w:rFonts w:ascii="Calibri" w:hAnsi="Calibri"/>
          <w:sz w:val="20"/>
        </w:rPr>
        <w:t xml:space="preserve"> are the </w:t>
      </w:r>
      <w:proofErr w:type="spellStart"/>
      <w:r w:rsidR="002E2F48">
        <w:rPr>
          <w:rFonts w:ascii="Calibri" w:hAnsi="Calibri"/>
          <w:sz w:val="20"/>
        </w:rPr>
        <w:t>Vetra</w:t>
      </w:r>
      <w:r>
        <w:rPr>
          <w:rFonts w:ascii="Calibri" w:hAnsi="Calibri"/>
          <w:sz w:val="20"/>
        </w:rPr>
        <w:t>’</w:t>
      </w:r>
      <w:r w:rsidR="007C370C" w:rsidRPr="007C370C">
        <w:rPr>
          <w:rFonts w:ascii="Calibri" w:hAnsi="Calibri"/>
          <w:sz w:val="20"/>
        </w:rPr>
        <w:t>s</w:t>
      </w:r>
      <w:proofErr w:type="spellEnd"/>
      <w:r w:rsidR="007C370C" w:rsidRPr="007C370C">
        <w:rPr>
          <w:rFonts w:ascii="Calibri" w:hAnsi="Calibri"/>
          <w:sz w:val="20"/>
        </w:rPr>
        <w:t xml:space="preserve"> working interest reserves after deductions of royalty obligations plus </w:t>
      </w:r>
      <w:proofErr w:type="spellStart"/>
      <w:r w:rsidR="002E2F48">
        <w:rPr>
          <w:rFonts w:ascii="Calibri" w:hAnsi="Calibri"/>
          <w:sz w:val="20"/>
        </w:rPr>
        <w:t>Vetra</w:t>
      </w:r>
      <w:r>
        <w:rPr>
          <w:rFonts w:ascii="Calibri" w:hAnsi="Calibri"/>
          <w:sz w:val="20"/>
        </w:rPr>
        <w:t>’</w:t>
      </w:r>
      <w:r w:rsidR="007C370C" w:rsidRPr="007C370C">
        <w:rPr>
          <w:rFonts w:ascii="Calibri" w:hAnsi="Calibri"/>
          <w:sz w:val="20"/>
        </w:rPr>
        <w:t>s</w:t>
      </w:r>
      <w:proofErr w:type="spellEnd"/>
      <w:r w:rsidR="007C370C" w:rsidRPr="007C370C">
        <w:rPr>
          <w:rFonts w:ascii="Calibri" w:hAnsi="Calibri"/>
          <w:sz w:val="20"/>
        </w:rPr>
        <w:t xml:space="preserve"> royalty interests. </w:t>
      </w:r>
    </w:p>
    <w:p w14:paraId="21746254" w14:textId="77777777" w:rsidR="007C370C" w:rsidRPr="00463C54" w:rsidRDefault="007C370C" w:rsidP="007C370C">
      <w:pPr>
        <w:pStyle w:val="Notes"/>
        <w:widowControl w:val="0"/>
        <w:numPr>
          <w:ilvl w:val="0"/>
          <w:numId w:val="21"/>
        </w:numPr>
        <w:rPr>
          <w:rFonts w:ascii="Calibri" w:hAnsi="Calibri"/>
          <w:sz w:val="22"/>
          <w:szCs w:val="22"/>
        </w:rPr>
      </w:pPr>
      <w:r w:rsidRPr="007C370C">
        <w:rPr>
          <w:rFonts w:ascii="Calibri" w:hAnsi="Calibri"/>
          <w:sz w:val="20"/>
        </w:rPr>
        <w:t>The numbers in this table may not add exactly due to rounding.</w:t>
      </w:r>
    </w:p>
    <w:p w14:paraId="08ED015E" w14:textId="0956DCAD" w:rsidR="002E2F48" w:rsidRDefault="002E2F48" w:rsidP="00B8016B">
      <w:pPr>
        <w:shd w:val="clear" w:color="auto" w:fill="FFFFFF"/>
        <w:jc w:val="both"/>
        <w:rPr>
          <w:rFonts w:ascii="Calibri" w:hAnsi="Calibri" w:cs="Times New Roman"/>
          <w:sz w:val="22"/>
        </w:rPr>
      </w:pPr>
      <w:r w:rsidRPr="007C370C">
        <w:rPr>
          <w:rFonts w:ascii="Calibri" w:hAnsi="Calibri" w:cs="Times New Roman"/>
          <w:sz w:val="22"/>
        </w:rPr>
        <w:t xml:space="preserve">The information set forth </w:t>
      </w:r>
      <w:r>
        <w:rPr>
          <w:rFonts w:ascii="Calibri" w:hAnsi="Calibri" w:cs="Times New Roman"/>
          <w:sz w:val="22"/>
        </w:rPr>
        <w:t>above</w:t>
      </w:r>
      <w:r w:rsidRPr="007C370C">
        <w:rPr>
          <w:rFonts w:ascii="Calibri" w:hAnsi="Calibri" w:cs="Times New Roman"/>
          <w:sz w:val="22"/>
        </w:rPr>
        <w:t xml:space="preserve"> is derived from the </w:t>
      </w:r>
      <w:r w:rsidRPr="007C370C">
        <w:rPr>
          <w:rFonts w:ascii="Calibri" w:hAnsi="Calibri"/>
          <w:sz w:val="22"/>
        </w:rPr>
        <w:t xml:space="preserve">report prepared by </w:t>
      </w:r>
      <w:proofErr w:type="spellStart"/>
      <w:r w:rsidRPr="007C370C">
        <w:rPr>
          <w:rFonts w:ascii="Calibri" w:hAnsi="Calibri" w:cs="Times New Roman"/>
          <w:sz w:val="22"/>
        </w:rPr>
        <w:t>DeGolyer</w:t>
      </w:r>
      <w:proofErr w:type="spellEnd"/>
      <w:r w:rsidRPr="007C370C">
        <w:rPr>
          <w:rFonts w:ascii="Calibri" w:hAnsi="Calibri" w:cs="Times New Roman"/>
          <w:sz w:val="22"/>
        </w:rPr>
        <w:t xml:space="preserve"> and </w:t>
      </w:r>
      <w:proofErr w:type="spellStart"/>
      <w:r w:rsidRPr="007C370C">
        <w:rPr>
          <w:rFonts w:ascii="Calibri" w:hAnsi="Calibri" w:cs="Times New Roman"/>
          <w:sz w:val="22"/>
        </w:rPr>
        <w:t>MacNaughton</w:t>
      </w:r>
      <w:proofErr w:type="spellEnd"/>
      <w:r w:rsidRPr="007C370C">
        <w:rPr>
          <w:rFonts w:ascii="Calibri" w:hAnsi="Calibri" w:cs="Times New Roman"/>
          <w:sz w:val="22"/>
        </w:rPr>
        <w:t xml:space="preserve"> (</w:t>
      </w:r>
      <w:r w:rsidR="00BD7FA6">
        <w:rPr>
          <w:rFonts w:ascii="Calibri" w:hAnsi="Calibri" w:cs="Times New Roman"/>
          <w:sz w:val="22"/>
        </w:rPr>
        <w:t>“</w:t>
      </w:r>
      <w:r w:rsidRPr="007C370C">
        <w:rPr>
          <w:rFonts w:ascii="Calibri" w:hAnsi="Calibri" w:cs="Times New Roman"/>
          <w:b/>
          <w:sz w:val="22"/>
        </w:rPr>
        <w:t>D&amp;M</w:t>
      </w:r>
      <w:r w:rsidR="00BD7FA6">
        <w:rPr>
          <w:rFonts w:ascii="Calibri" w:hAnsi="Calibri" w:cs="Times New Roman"/>
          <w:sz w:val="22"/>
        </w:rPr>
        <w:t>”</w:t>
      </w:r>
      <w:r w:rsidRPr="007C370C">
        <w:rPr>
          <w:rFonts w:ascii="Calibri" w:hAnsi="Calibri" w:cs="Times New Roman"/>
          <w:sz w:val="22"/>
        </w:rPr>
        <w:t xml:space="preserve">), </w:t>
      </w:r>
      <w:proofErr w:type="spellStart"/>
      <w:r w:rsidRPr="007C370C">
        <w:rPr>
          <w:rFonts w:ascii="Calibri" w:hAnsi="Calibri" w:cs="Times New Roman"/>
          <w:sz w:val="22"/>
        </w:rPr>
        <w:t>Vetra</w:t>
      </w:r>
      <w:r w:rsidR="00BD7FA6">
        <w:rPr>
          <w:rFonts w:ascii="Calibri" w:hAnsi="Calibri" w:cs="Times New Roman"/>
          <w:sz w:val="22"/>
        </w:rPr>
        <w:t>’</w:t>
      </w:r>
      <w:r w:rsidRPr="007C370C">
        <w:rPr>
          <w:rFonts w:ascii="Calibri" w:hAnsi="Calibri" w:cs="Times New Roman"/>
          <w:sz w:val="22"/>
        </w:rPr>
        <w:t>s</w:t>
      </w:r>
      <w:proofErr w:type="spellEnd"/>
      <w:r w:rsidRPr="007C370C">
        <w:rPr>
          <w:rFonts w:ascii="Calibri" w:hAnsi="Calibri" w:cs="Times New Roman"/>
          <w:sz w:val="22"/>
        </w:rPr>
        <w:t xml:space="preserve"> independent reserves evaluator, </w:t>
      </w:r>
      <w:r w:rsidRPr="007C370C">
        <w:rPr>
          <w:rFonts w:ascii="Calibri" w:hAnsi="Calibri"/>
          <w:sz w:val="22"/>
        </w:rPr>
        <w:t xml:space="preserve">on May 4, 2018 entitled </w:t>
      </w:r>
      <w:r w:rsidR="00BD7FA6">
        <w:rPr>
          <w:rFonts w:ascii="Calibri" w:hAnsi="Calibri"/>
          <w:sz w:val="22"/>
        </w:rPr>
        <w:t>“</w:t>
      </w:r>
      <w:r w:rsidRPr="007C370C">
        <w:rPr>
          <w:rFonts w:ascii="Calibri" w:hAnsi="Calibri"/>
          <w:sz w:val="22"/>
        </w:rPr>
        <w:t xml:space="preserve">Report as of December 31, 2017 on Reserves and Revenue of Certain Fields in Colombia for </w:t>
      </w:r>
      <w:proofErr w:type="spellStart"/>
      <w:r w:rsidRPr="007C370C">
        <w:rPr>
          <w:rFonts w:ascii="Calibri" w:hAnsi="Calibri"/>
          <w:sz w:val="22"/>
        </w:rPr>
        <w:t>Vetra</w:t>
      </w:r>
      <w:proofErr w:type="spellEnd"/>
      <w:r w:rsidRPr="007C370C">
        <w:rPr>
          <w:rFonts w:ascii="Calibri" w:hAnsi="Calibri"/>
          <w:sz w:val="22"/>
        </w:rPr>
        <w:t xml:space="preserve"> </w:t>
      </w:r>
      <w:proofErr w:type="spellStart"/>
      <w:r w:rsidRPr="007C370C">
        <w:rPr>
          <w:rFonts w:ascii="Calibri" w:hAnsi="Calibri"/>
          <w:sz w:val="22"/>
        </w:rPr>
        <w:t>Exploración</w:t>
      </w:r>
      <w:proofErr w:type="spellEnd"/>
      <w:r w:rsidRPr="007C370C">
        <w:rPr>
          <w:rFonts w:ascii="Calibri" w:hAnsi="Calibri"/>
          <w:sz w:val="22"/>
        </w:rPr>
        <w:t xml:space="preserve"> Y </w:t>
      </w:r>
      <w:proofErr w:type="spellStart"/>
      <w:r w:rsidRPr="007C370C">
        <w:rPr>
          <w:rFonts w:ascii="Calibri" w:hAnsi="Calibri"/>
          <w:sz w:val="22"/>
        </w:rPr>
        <w:t>Producción</w:t>
      </w:r>
      <w:proofErr w:type="spellEnd"/>
      <w:r w:rsidRPr="007C370C">
        <w:rPr>
          <w:rFonts w:ascii="Calibri" w:hAnsi="Calibri"/>
          <w:sz w:val="22"/>
        </w:rPr>
        <w:t xml:space="preserve"> Colombia S.A.S. Executive Summary NI 51-101</w:t>
      </w:r>
      <w:r w:rsidR="00BD7FA6">
        <w:rPr>
          <w:rFonts w:ascii="Calibri" w:hAnsi="Calibri"/>
          <w:sz w:val="22"/>
        </w:rPr>
        <w:t>”</w:t>
      </w:r>
      <w:r w:rsidRPr="007C370C">
        <w:rPr>
          <w:rFonts w:ascii="Calibri" w:hAnsi="Calibri"/>
          <w:sz w:val="22"/>
        </w:rPr>
        <w:t xml:space="preserve"> dated effective December 31, 2017</w:t>
      </w:r>
      <w:r w:rsidR="00A33519">
        <w:rPr>
          <w:rFonts w:ascii="Calibri" w:hAnsi="Calibri"/>
          <w:sz w:val="22"/>
        </w:rPr>
        <w:t xml:space="preserve"> (the </w:t>
      </w:r>
      <w:r w:rsidR="00BD7FA6">
        <w:rPr>
          <w:rFonts w:ascii="Calibri" w:hAnsi="Calibri"/>
          <w:sz w:val="22"/>
        </w:rPr>
        <w:t>“</w:t>
      </w:r>
      <w:r w:rsidR="00A33519" w:rsidRPr="00A33519">
        <w:rPr>
          <w:rFonts w:ascii="Calibri" w:hAnsi="Calibri"/>
          <w:b/>
          <w:sz w:val="22"/>
        </w:rPr>
        <w:t>Report</w:t>
      </w:r>
      <w:r w:rsidR="00BD7FA6">
        <w:rPr>
          <w:rFonts w:ascii="Calibri" w:hAnsi="Calibri"/>
          <w:sz w:val="22"/>
        </w:rPr>
        <w:t>”</w:t>
      </w:r>
      <w:r w:rsidR="00A33519">
        <w:rPr>
          <w:rFonts w:ascii="Calibri" w:hAnsi="Calibri"/>
          <w:sz w:val="22"/>
        </w:rPr>
        <w:t>)</w:t>
      </w:r>
      <w:r w:rsidRPr="007C370C">
        <w:rPr>
          <w:rFonts w:ascii="Calibri" w:hAnsi="Calibri"/>
          <w:sz w:val="22"/>
        </w:rPr>
        <w:t xml:space="preserve">, </w:t>
      </w:r>
      <w:r w:rsidRPr="007C370C">
        <w:rPr>
          <w:rFonts w:ascii="Calibri" w:hAnsi="Calibri" w:cs="Times New Roman"/>
          <w:sz w:val="22"/>
        </w:rPr>
        <w:t xml:space="preserve">which has been prepared in accordance with the standards contained in the COGE Handbook and the reserves definitions contained in National Instrument 51-101 – </w:t>
      </w:r>
      <w:r w:rsidRPr="007C370C">
        <w:rPr>
          <w:rFonts w:ascii="Calibri" w:hAnsi="Calibri" w:cs="Times New Roman"/>
          <w:i/>
          <w:sz w:val="22"/>
        </w:rPr>
        <w:t>Standards of Disclosure for Oil and Gas Activities</w:t>
      </w:r>
      <w:r w:rsidRPr="007C370C">
        <w:rPr>
          <w:rFonts w:ascii="Calibri" w:hAnsi="Calibri" w:cs="Times New Roman"/>
          <w:sz w:val="22"/>
        </w:rPr>
        <w:t>.</w:t>
      </w:r>
      <w:r w:rsidR="00A33519">
        <w:rPr>
          <w:rFonts w:ascii="Calibri" w:hAnsi="Calibri" w:cs="Times New Roman"/>
          <w:sz w:val="22"/>
        </w:rPr>
        <w:t xml:space="preserve"> </w:t>
      </w:r>
      <w:r w:rsidR="00A33519" w:rsidRPr="00A33519">
        <w:rPr>
          <w:rFonts w:ascii="Calibri" w:hAnsi="Calibri" w:cs="Times New Roman"/>
          <w:sz w:val="22"/>
        </w:rPr>
        <w:t xml:space="preserve">The reserves data contained </w:t>
      </w:r>
      <w:r w:rsidR="00A33519">
        <w:rPr>
          <w:rFonts w:ascii="Calibri" w:hAnsi="Calibri" w:cs="Times New Roman"/>
          <w:sz w:val="22"/>
        </w:rPr>
        <w:t>in the Report</w:t>
      </w:r>
      <w:r w:rsidR="00A33519" w:rsidRPr="00A33519">
        <w:rPr>
          <w:rFonts w:ascii="Calibri" w:hAnsi="Calibri" w:cs="Times New Roman"/>
          <w:sz w:val="22"/>
        </w:rPr>
        <w:t xml:space="preserve"> is based on oil price forecasts as of December 31, 2017 provided by </w:t>
      </w:r>
      <w:proofErr w:type="spellStart"/>
      <w:r w:rsidR="00A33519">
        <w:rPr>
          <w:rFonts w:ascii="Calibri" w:hAnsi="Calibri" w:cs="Times New Roman"/>
          <w:sz w:val="22"/>
        </w:rPr>
        <w:t>Vetra</w:t>
      </w:r>
      <w:proofErr w:type="spellEnd"/>
      <w:r w:rsidR="00A33519">
        <w:rPr>
          <w:rFonts w:ascii="Calibri" w:hAnsi="Calibri" w:cs="Times New Roman"/>
          <w:sz w:val="22"/>
        </w:rPr>
        <w:t xml:space="preserve"> to D&amp;M.</w:t>
      </w:r>
    </w:p>
    <w:p w14:paraId="645C9649" w14:textId="4EFE6CA0" w:rsidR="00D54431" w:rsidRDefault="00D54431" w:rsidP="00B8016B">
      <w:pPr>
        <w:shd w:val="clear" w:color="auto" w:fill="FFFFFF"/>
        <w:jc w:val="both"/>
        <w:rPr>
          <w:rFonts w:ascii="Calibri" w:hAnsi="Calibri" w:cs="Times New Roman"/>
          <w:sz w:val="22"/>
        </w:rPr>
      </w:pPr>
    </w:p>
    <w:p w14:paraId="5CAB7C30" w14:textId="77777777" w:rsidR="00D54431" w:rsidRPr="007C370C" w:rsidRDefault="00D54431" w:rsidP="00D54431">
      <w:pPr>
        <w:shd w:val="clear" w:color="auto" w:fill="FFFFFF"/>
        <w:jc w:val="both"/>
        <w:rPr>
          <w:rFonts w:ascii="Calibri" w:hAnsi="Calibri" w:cs="Times New Roman"/>
          <w:b/>
          <w:sz w:val="22"/>
        </w:rPr>
      </w:pPr>
      <w:r>
        <w:rPr>
          <w:rFonts w:ascii="Calibri" w:hAnsi="Calibri" w:cs="Times New Roman"/>
          <w:b/>
          <w:sz w:val="22"/>
        </w:rPr>
        <w:t>Transaction</w:t>
      </w:r>
      <w:r w:rsidRPr="007C370C">
        <w:rPr>
          <w:rFonts w:ascii="Calibri" w:hAnsi="Calibri" w:cs="Times New Roman"/>
          <w:b/>
          <w:sz w:val="22"/>
        </w:rPr>
        <w:t xml:space="preserve"> Terms</w:t>
      </w:r>
    </w:p>
    <w:p w14:paraId="39C82789" w14:textId="77777777" w:rsidR="00D54431" w:rsidRPr="007C370C" w:rsidRDefault="00D54431" w:rsidP="00D54431">
      <w:pPr>
        <w:shd w:val="clear" w:color="auto" w:fill="FFFFFF"/>
        <w:jc w:val="both"/>
        <w:rPr>
          <w:rFonts w:ascii="Calibri" w:hAnsi="Calibri" w:cs="Times New Roman"/>
          <w:sz w:val="22"/>
        </w:rPr>
      </w:pPr>
    </w:p>
    <w:p w14:paraId="4EA19467" w14:textId="77777777" w:rsidR="00D54431" w:rsidRDefault="00D54431" w:rsidP="00D54431">
      <w:pPr>
        <w:shd w:val="clear" w:color="auto" w:fill="FFFFFF"/>
        <w:jc w:val="both"/>
        <w:rPr>
          <w:rFonts w:ascii="Calibri" w:hAnsi="Calibri" w:cs="Times New Roman"/>
          <w:sz w:val="22"/>
        </w:rPr>
      </w:pPr>
      <w:r w:rsidRPr="00463C54">
        <w:rPr>
          <w:rFonts w:ascii="Calibri" w:hAnsi="Calibri" w:cs="Times New Roman"/>
          <w:sz w:val="22"/>
        </w:rPr>
        <w:t xml:space="preserve">Under the Transaction, New Stratus will acquire all issued and outstanding shares of </w:t>
      </w:r>
      <w:proofErr w:type="spellStart"/>
      <w:r w:rsidRPr="00463C54">
        <w:rPr>
          <w:rFonts w:ascii="Calibri" w:hAnsi="Calibri" w:cs="Times New Roman"/>
          <w:sz w:val="22"/>
        </w:rPr>
        <w:t>Vetra</w:t>
      </w:r>
      <w:proofErr w:type="spellEnd"/>
      <w:r w:rsidRPr="00463C54">
        <w:rPr>
          <w:rFonts w:ascii="Calibri" w:hAnsi="Calibri" w:cs="Times New Roman"/>
          <w:sz w:val="22"/>
        </w:rPr>
        <w:t xml:space="preserve"> fo</w:t>
      </w:r>
      <w:r>
        <w:rPr>
          <w:rFonts w:ascii="Calibri" w:hAnsi="Calibri" w:cs="Times New Roman"/>
          <w:sz w:val="22"/>
        </w:rPr>
        <w:t>r a base purchase price of US$88.5</w:t>
      </w:r>
      <w:r w:rsidRPr="00463C54">
        <w:rPr>
          <w:rFonts w:ascii="Calibri" w:hAnsi="Calibri" w:cs="Times New Roman"/>
          <w:sz w:val="22"/>
        </w:rPr>
        <w:t xml:space="preserve"> million in cash (the “</w:t>
      </w:r>
      <w:r w:rsidRPr="00463C54">
        <w:rPr>
          <w:rFonts w:ascii="Calibri" w:hAnsi="Calibri" w:cs="Times New Roman"/>
          <w:b/>
          <w:sz w:val="22"/>
        </w:rPr>
        <w:t>Base Purchase Price</w:t>
      </w:r>
      <w:r w:rsidRPr="00463C54">
        <w:rPr>
          <w:rFonts w:ascii="Calibri" w:hAnsi="Calibri" w:cs="Times New Roman"/>
          <w:sz w:val="22"/>
        </w:rPr>
        <w:t xml:space="preserve">”). </w:t>
      </w:r>
      <w:r>
        <w:rPr>
          <w:rFonts w:ascii="Calibri" w:hAnsi="Calibri" w:cs="Times New Roman"/>
          <w:sz w:val="22"/>
        </w:rPr>
        <w:t>US$76.5 million will be paid at closing and the balance of US$12 million will be paid within six months of closing of the Transaction</w:t>
      </w:r>
      <w:r w:rsidRPr="00463C54">
        <w:rPr>
          <w:rFonts w:ascii="Calibri" w:hAnsi="Calibri" w:cs="Times New Roman"/>
          <w:sz w:val="22"/>
        </w:rPr>
        <w:t xml:space="preserve">. </w:t>
      </w:r>
      <w:r>
        <w:rPr>
          <w:rFonts w:ascii="Calibri" w:hAnsi="Calibri" w:cs="Times New Roman"/>
          <w:sz w:val="22"/>
        </w:rPr>
        <w:t xml:space="preserve">The Base Purchase Price was calculated based on an enterprise value of US$123 million and deducting net financial and commercial debt. </w:t>
      </w:r>
      <w:proofErr w:type="spellStart"/>
      <w:r>
        <w:rPr>
          <w:rFonts w:ascii="Calibri" w:hAnsi="Calibri" w:cs="Times New Roman"/>
          <w:sz w:val="22"/>
        </w:rPr>
        <w:t>Vetra</w:t>
      </w:r>
      <w:proofErr w:type="spellEnd"/>
      <w:r>
        <w:rPr>
          <w:rFonts w:ascii="Calibri" w:hAnsi="Calibri" w:cs="Times New Roman"/>
          <w:sz w:val="22"/>
        </w:rPr>
        <w:t xml:space="preserve"> intends to dispose of its interest in the VMM-2 block prior to closing. If such disposition is not completed, New Stratus will then pay for such interest at a fixed amount</w:t>
      </w:r>
      <w:r w:rsidRPr="00463C54">
        <w:rPr>
          <w:rFonts w:ascii="Calibri" w:hAnsi="Calibri" w:cs="Times New Roman"/>
          <w:sz w:val="22"/>
        </w:rPr>
        <w:t xml:space="preserve">. </w:t>
      </w:r>
    </w:p>
    <w:p w14:paraId="27C700E5" w14:textId="77777777" w:rsidR="00D54431" w:rsidRDefault="00D54431" w:rsidP="00D54431">
      <w:pPr>
        <w:shd w:val="clear" w:color="auto" w:fill="FFFFFF"/>
        <w:jc w:val="both"/>
        <w:rPr>
          <w:rFonts w:ascii="Calibri" w:hAnsi="Calibri" w:cs="Times New Roman"/>
          <w:sz w:val="22"/>
        </w:rPr>
      </w:pPr>
    </w:p>
    <w:p w14:paraId="187A23FD" w14:textId="3BD43DAD" w:rsidR="00D54431" w:rsidRPr="007C370C" w:rsidRDefault="00D54431" w:rsidP="00D54431">
      <w:pPr>
        <w:shd w:val="clear" w:color="auto" w:fill="FFFFFF"/>
        <w:jc w:val="both"/>
        <w:rPr>
          <w:rFonts w:ascii="Calibri" w:hAnsi="Calibri" w:cs="Times New Roman"/>
          <w:sz w:val="22"/>
        </w:rPr>
      </w:pPr>
      <w:r w:rsidRPr="007C370C">
        <w:rPr>
          <w:rFonts w:ascii="Calibri" w:hAnsi="Calibri" w:cs="Times New Roman"/>
          <w:sz w:val="22"/>
        </w:rPr>
        <w:t>Pursuant to the LOI, the parties have agreed to an exclusivity period until July 31, 20</w:t>
      </w:r>
      <w:r>
        <w:rPr>
          <w:rFonts w:ascii="Calibri" w:hAnsi="Calibri" w:cs="Times New Roman"/>
          <w:sz w:val="22"/>
        </w:rPr>
        <w:t>18.  New Stratus has substantially</w:t>
      </w:r>
      <w:r w:rsidRPr="007C370C">
        <w:rPr>
          <w:rFonts w:ascii="Calibri" w:hAnsi="Calibri" w:cs="Times New Roman"/>
          <w:sz w:val="22"/>
        </w:rPr>
        <w:t xml:space="preserve"> completed its due diligence and the parties are now proceeding with the negotiation of one or more definitive agreements in relation to the </w:t>
      </w:r>
      <w:r>
        <w:rPr>
          <w:rFonts w:ascii="Calibri" w:hAnsi="Calibri" w:cs="Times New Roman"/>
          <w:sz w:val="22"/>
        </w:rPr>
        <w:t>Transaction</w:t>
      </w:r>
      <w:r w:rsidRPr="007C370C">
        <w:rPr>
          <w:rFonts w:ascii="Calibri" w:hAnsi="Calibri" w:cs="Times New Roman"/>
          <w:sz w:val="22"/>
        </w:rPr>
        <w:t xml:space="preserve"> (the </w:t>
      </w:r>
      <w:r>
        <w:rPr>
          <w:rFonts w:ascii="Calibri" w:hAnsi="Calibri" w:cs="Times New Roman"/>
          <w:sz w:val="22"/>
        </w:rPr>
        <w:t>“</w:t>
      </w:r>
      <w:r w:rsidRPr="007C370C">
        <w:rPr>
          <w:rFonts w:ascii="Calibri" w:hAnsi="Calibri" w:cs="Times New Roman"/>
          <w:b/>
          <w:sz w:val="22"/>
        </w:rPr>
        <w:t>Definitive Agreement</w:t>
      </w:r>
      <w:r>
        <w:rPr>
          <w:rFonts w:ascii="Calibri" w:hAnsi="Calibri" w:cs="Times New Roman"/>
          <w:sz w:val="22"/>
        </w:rPr>
        <w:t>”</w:t>
      </w:r>
      <w:r w:rsidRPr="007C370C">
        <w:rPr>
          <w:rFonts w:ascii="Calibri" w:hAnsi="Calibri" w:cs="Times New Roman"/>
          <w:sz w:val="22"/>
        </w:rPr>
        <w:t>). The Definitive Agreement will contain</w:t>
      </w:r>
      <w:r w:rsidR="00632A6D">
        <w:rPr>
          <w:rFonts w:ascii="Calibri" w:hAnsi="Calibri" w:cs="Times New Roman"/>
          <w:sz w:val="22"/>
        </w:rPr>
        <w:t xml:space="preserve"> </w:t>
      </w:r>
      <w:r w:rsidRPr="007C370C">
        <w:rPr>
          <w:rFonts w:ascii="Calibri" w:hAnsi="Calibri" w:cs="Times New Roman"/>
          <w:sz w:val="22"/>
        </w:rPr>
        <w:t xml:space="preserve">representations and warranties for the benefit of each of the parties, conditions relating to </w:t>
      </w:r>
      <w:r w:rsidR="00632A6D">
        <w:rPr>
          <w:rFonts w:ascii="Calibri" w:hAnsi="Calibri" w:cs="Times New Roman"/>
          <w:sz w:val="22"/>
        </w:rPr>
        <w:t xml:space="preserve">waiver of change of control by certain lenders of </w:t>
      </w:r>
      <w:proofErr w:type="spellStart"/>
      <w:r w:rsidR="00632A6D">
        <w:rPr>
          <w:rFonts w:ascii="Calibri" w:hAnsi="Calibri" w:cs="Times New Roman"/>
          <w:sz w:val="22"/>
        </w:rPr>
        <w:t>Vetra</w:t>
      </w:r>
      <w:proofErr w:type="spellEnd"/>
      <w:r w:rsidR="00632A6D">
        <w:rPr>
          <w:rFonts w:ascii="Calibri" w:hAnsi="Calibri" w:cs="Times New Roman"/>
          <w:sz w:val="22"/>
        </w:rPr>
        <w:t xml:space="preserve">, </w:t>
      </w:r>
      <w:r w:rsidRPr="007C370C">
        <w:rPr>
          <w:rFonts w:ascii="Calibri" w:hAnsi="Calibri" w:cs="Times New Roman"/>
          <w:sz w:val="22"/>
        </w:rPr>
        <w:t>share</w:t>
      </w:r>
      <w:r>
        <w:rPr>
          <w:rFonts w:ascii="Calibri" w:hAnsi="Calibri" w:cs="Times New Roman"/>
          <w:sz w:val="22"/>
        </w:rPr>
        <w:t>holder and regulatory approvals</w:t>
      </w:r>
      <w:r w:rsidRPr="007C370C">
        <w:rPr>
          <w:rFonts w:ascii="Calibri" w:hAnsi="Calibri" w:cs="Times New Roman"/>
          <w:sz w:val="22"/>
        </w:rPr>
        <w:t xml:space="preserve"> and compliance with the Definitive Agreement, as is customary in comparable transactions of this nature.  There is no guarantee that the Definitive Agreement will be executed</w:t>
      </w:r>
      <w:r>
        <w:rPr>
          <w:rFonts w:ascii="Calibri" w:hAnsi="Calibri" w:cs="Times New Roman"/>
          <w:sz w:val="22"/>
        </w:rPr>
        <w:t>.</w:t>
      </w:r>
    </w:p>
    <w:p w14:paraId="119A0481" w14:textId="77777777" w:rsidR="00D54431" w:rsidRDefault="00D54431" w:rsidP="00B8016B">
      <w:pPr>
        <w:shd w:val="clear" w:color="auto" w:fill="FFFFFF"/>
        <w:jc w:val="both"/>
        <w:rPr>
          <w:rFonts w:ascii="Calibri" w:hAnsi="Calibri" w:cs="Times New Roman"/>
          <w:sz w:val="22"/>
        </w:rPr>
      </w:pPr>
    </w:p>
    <w:p w14:paraId="075A2641" w14:textId="77777777" w:rsidR="008F7E8A" w:rsidRDefault="008F7E8A" w:rsidP="00B8016B">
      <w:pPr>
        <w:shd w:val="clear" w:color="auto" w:fill="FFFFFF"/>
        <w:jc w:val="both"/>
        <w:rPr>
          <w:rFonts w:ascii="Calibri" w:hAnsi="Calibri" w:cs="Times New Roman"/>
          <w:sz w:val="22"/>
        </w:rPr>
      </w:pPr>
    </w:p>
    <w:p w14:paraId="287A3A72" w14:textId="77777777" w:rsidR="00911FC6" w:rsidRPr="007C370C" w:rsidRDefault="00911FC6" w:rsidP="00911FC6">
      <w:pPr>
        <w:shd w:val="clear" w:color="auto" w:fill="FFFFFF"/>
        <w:jc w:val="both"/>
        <w:rPr>
          <w:rFonts w:ascii="Calibri" w:hAnsi="Calibri" w:cs="Times New Roman"/>
          <w:b/>
          <w:sz w:val="22"/>
        </w:rPr>
      </w:pPr>
      <w:r>
        <w:rPr>
          <w:rFonts w:ascii="Calibri" w:hAnsi="Calibri" w:cs="Times New Roman"/>
          <w:b/>
          <w:sz w:val="22"/>
        </w:rPr>
        <w:lastRenderedPageBreak/>
        <w:t>Indicative Acquisition Metrics</w:t>
      </w:r>
    </w:p>
    <w:p w14:paraId="7420EF0B" w14:textId="77777777" w:rsidR="00911FC6" w:rsidRPr="004E0CED" w:rsidRDefault="00911FC6" w:rsidP="00911FC6">
      <w:pPr>
        <w:shd w:val="clear" w:color="auto" w:fill="FFFFFF"/>
        <w:jc w:val="both"/>
        <w:rPr>
          <w:rFonts w:ascii="Calibri" w:hAnsi="Calibri" w:cs="Times New Roman"/>
          <w:sz w:val="22"/>
        </w:rPr>
      </w:pPr>
    </w:p>
    <w:p w14:paraId="2E7F6BB6" w14:textId="5D4E8F2C" w:rsidR="00911FC6" w:rsidRPr="004E0CED" w:rsidRDefault="00911FC6" w:rsidP="00911FC6">
      <w:pPr>
        <w:shd w:val="clear" w:color="auto" w:fill="FFFFFF"/>
        <w:jc w:val="both"/>
        <w:rPr>
          <w:rFonts w:ascii="Calibri" w:hAnsi="Calibri" w:cs="Times New Roman"/>
          <w:sz w:val="22"/>
        </w:rPr>
      </w:pPr>
      <w:r w:rsidRPr="004E0CED">
        <w:rPr>
          <w:rFonts w:ascii="Calibri" w:hAnsi="Calibri" w:cs="Times New Roman"/>
          <w:sz w:val="22"/>
        </w:rPr>
        <w:t xml:space="preserve">Purchase price per proved </w:t>
      </w:r>
      <w:r w:rsidR="000F45C6" w:rsidRPr="004E0CED">
        <w:rPr>
          <w:rFonts w:ascii="Calibri" w:hAnsi="Calibri" w:cs="Times New Roman"/>
          <w:sz w:val="22"/>
        </w:rPr>
        <w:t>and</w:t>
      </w:r>
      <w:r w:rsidRPr="004E0CED">
        <w:rPr>
          <w:rFonts w:ascii="Calibri" w:hAnsi="Calibri" w:cs="Times New Roman"/>
          <w:sz w:val="22"/>
        </w:rPr>
        <w:t xml:space="preserve"> probable (2P) barrels:</w:t>
      </w:r>
      <w:r w:rsidRPr="004E0CED">
        <w:rPr>
          <w:rFonts w:ascii="Calibri" w:hAnsi="Calibri" w:cs="Times New Roman"/>
          <w:sz w:val="22"/>
        </w:rPr>
        <w:tab/>
      </w:r>
      <w:r w:rsidR="00AF2958" w:rsidRPr="004E0CED">
        <w:rPr>
          <w:rFonts w:ascii="Calibri" w:hAnsi="Calibri" w:cs="Times New Roman"/>
          <w:sz w:val="22"/>
        </w:rPr>
        <w:tab/>
      </w:r>
      <w:r w:rsidR="00AF2958" w:rsidRPr="004E0CED">
        <w:rPr>
          <w:rFonts w:ascii="Calibri" w:hAnsi="Calibri" w:cs="Times New Roman"/>
          <w:sz w:val="22"/>
        </w:rPr>
        <w:tab/>
      </w:r>
      <w:r w:rsidRPr="004E0CED">
        <w:rPr>
          <w:rFonts w:ascii="Calibri" w:hAnsi="Calibri" w:cs="Times New Roman"/>
          <w:sz w:val="22"/>
        </w:rPr>
        <w:t>US$</w:t>
      </w:r>
      <w:r w:rsidR="000511DC">
        <w:rPr>
          <w:rFonts w:ascii="Calibri" w:hAnsi="Calibri" w:cs="Times New Roman"/>
          <w:sz w:val="22"/>
        </w:rPr>
        <w:t>8.49</w:t>
      </w:r>
      <w:r w:rsidR="004877D5">
        <w:rPr>
          <w:rFonts w:ascii="Calibri" w:hAnsi="Calibri" w:cs="Times New Roman"/>
          <w:sz w:val="22"/>
        </w:rPr>
        <w:t xml:space="preserve"> </w:t>
      </w:r>
    </w:p>
    <w:p w14:paraId="6954028D" w14:textId="384CCFF0" w:rsidR="00911FC6" w:rsidRPr="004E0CED" w:rsidRDefault="00911FC6" w:rsidP="00911FC6">
      <w:pPr>
        <w:shd w:val="clear" w:color="auto" w:fill="FFFFFF"/>
        <w:jc w:val="both"/>
        <w:rPr>
          <w:rFonts w:ascii="Calibri" w:hAnsi="Calibri" w:cs="Times New Roman"/>
          <w:sz w:val="22"/>
        </w:rPr>
      </w:pPr>
      <w:r w:rsidRPr="004E0CED">
        <w:rPr>
          <w:rFonts w:ascii="Calibri" w:hAnsi="Calibri" w:cs="Times New Roman"/>
          <w:sz w:val="22"/>
        </w:rPr>
        <w:t>Price per flowing barrel</w:t>
      </w:r>
      <w:r w:rsidR="00AF2958" w:rsidRPr="004E0CED">
        <w:rPr>
          <w:rFonts w:ascii="Calibri" w:hAnsi="Calibri" w:cs="Times New Roman"/>
          <w:sz w:val="22"/>
        </w:rPr>
        <w:t xml:space="preserve"> after royalties</w:t>
      </w:r>
      <w:r w:rsidRPr="004E0CED">
        <w:rPr>
          <w:rFonts w:ascii="Calibri" w:hAnsi="Calibri" w:cs="Times New Roman"/>
          <w:sz w:val="22"/>
        </w:rPr>
        <w:t>:</w:t>
      </w:r>
      <w:r w:rsidRPr="004E0CED">
        <w:rPr>
          <w:rFonts w:ascii="Calibri" w:hAnsi="Calibri" w:cs="Times New Roman"/>
          <w:sz w:val="22"/>
        </w:rPr>
        <w:tab/>
      </w:r>
      <w:r w:rsidRPr="004E0CED">
        <w:rPr>
          <w:rFonts w:ascii="Calibri" w:hAnsi="Calibri" w:cs="Times New Roman"/>
          <w:sz w:val="22"/>
        </w:rPr>
        <w:tab/>
      </w:r>
      <w:r w:rsidRPr="004E0CED">
        <w:rPr>
          <w:rFonts w:ascii="Calibri" w:hAnsi="Calibri" w:cs="Times New Roman"/>
          <w:sz w:val="22"/>
        </w:rPr>
        <w:tab/>
      </w:r>
      <w:r w:rsidRPr="004E0CED">
        <w:rPr>
          <w:rFonts w:ascii="Calibri" w:hAnsi="Calibri" w:cs="Times New Roman"/>
          <w:sz w:val="22"/>
        </w:rPr>
        <w:tab/>
      </w:r>
      <w:r w:rsidR="00AF2958" w:rsidRPr="004E0CED">
        <w:rPr>
          <w:rFonts w:ascii="Calibri" w:hAnsi="Calibri" w:cs="Times New Roman"/>
          <w:sz w:val="22"/>
        </w:rPr>
        <w:tab/>
      </w:r>
      <w:r w:rsidRPr="004E0CED">
        <w:rPr>
          <w:rFonts w:ascii="Calibri" w:hAnsi="Calibri" w:cs="Times New Roman"/>
          <w:sz w:val="22"/>
        </w:rPr>
        <w:t>US$</w:t>
      </w:r>
      <w:r w:rsidR="008B5EDC">
        <w:rPr>
          <w:rFonts w:ascii="Calibri" w:hAnsi="Calibri" w:cs="Times New Roman"/>
          <w:sz w:val="22"/>
        </w:rPr>
        <w:t>26,764</w:t>
      </w:r>
    </w:p>
    <w:p w14:paraId="56F2C878" w14:textId="77777777" w:rsidR="000F45C6" w:rsidRPr="000F45C6" w:rsidRDefault="000F45C6" w:rsidP="00911FC6">
      <w:pPr>
        <w:shd w:val="clear" w:color="auto" w:fill="FFFFFF"/>
        <w:jc w:val="both"/>
        <w:rPr>
          <w:rFonts w:ascii="Calibri" w:hAnsi="Calibri" w:cs="Times New Roman"/>
          <w:sz w:val="22"/>
        </w:rPr>
      </w:pPr>
      <w:r w:rsidRPr="004E0CED">
        <w:rPr>
          <w:rFonts w:ascii="Calibri" w:hAnsi="Calibri" w:cs="Times New Roman"/>
          <w:sz w:val="22"/>
        </w:rPr>
        <w:t>H2 2018 EBITDA annualized</w:t>
      </w:r>
      <w:r w:rsidRPr="004E0CED">
        <w:rPr>
          <w:rFonts w:ascii="Calibri" w:hAnsi="Calibri" w:cs="Times New Roman"/>
          <w:sz w:val="22"/>
        </w:rPr>
        <w:tab/>
      </w:r>
      <w:r w:rsidRPr="004E0CED">
        <w:rPr>
          <w:rFonts w:ascii="Calibri" w:hAnsi="Calibri" w:cs="Times New Roman"/>
          <w:sz w:val="22"/>
        </w:rPr>
        <w:tab/>
      </w:r>
      <w:r w:rsidRPr="004E0CED">
        <w:rPr>
          <w:rFonts w:ascii="Calibri" w:hAnsi="Calibri" w:cs="Times New Roman"/>
          <w:sz w:val="22"/>
        </w:rPr>
        <w:tab/>
      </w:r>
      <w:r w:rsidRPr="004E0CED">
        <w:rPr>
          <w:rFonts w:ascii="Calibri" w:hAnsi="Calibri" w:cs="Times New Roman"/>
          <w:sz w:val="22"/>
        </w:rPr>
        <w:tab/>
      </w:r>
      <w:r w:rsidR="00AF2958" w:rsidRPr="004E0CED">
        <w:rPr>
          <w:rFonts w:ascii="Calibri" w:hAnsi="Calibri" w:cs="Times New Roman"/>
          <w:sz w:val="22"/>
        </w:rPr>
        <w:tab/>
      </w:r>
      <w:r w:rsidR="00AF2958" w:rsidRPr="004E0CED">
        <w:rPr>
          <w:rFonts w:ascii="Calibri" w:hAnsi="Calibri" w:cs="Times New Roman"/>
          <w:sz w:val="22"/>
        </w:rPr>
        <w:tab/>
      </w:r>
      <w:r w:rsidRPr="00621DC7">
        <w:rPr>
          <w:rFonts w:ascii="Calibri" w:hAnsi="Calibri" w:cs="Times New Roman"/>
          <w:sz w:val="22"/>
        </w:rPr>
        <w:t>US$</w:t>
      </w:r>
      <w:r w:rsidR="004E0CED" w:rsidRPr="00621DC7">
        <w:rPr>
          <w:rFonts w:ascii="Calibri" w:hAnsi="Calibri" w:cs="Times New Roman"/>
          <w:sz w:val="22"/>
        </w:rPr>
        <w:t>61 million</w:t>
      </w:r>
      <w:r w:rsidRPr="00621DC7">
        <w:rPr>
          <w:rFonts w:ascii="Calibri" w:hAnsi="Calibri" w:cs="Times New Roman"/>
          <w:b/>
          <w:sz w:val="22"/>
        </w:rPr>
        <w:t xml:space="preserve"> </w:t>
      </w:r>
    </w:p>
    <w:p w14:paraId="3B0176FD" w14:textId="77777777" w:rsidR="00911FC6" w:rsidRDefault="00911FC6" w:rsidP="00911FC6">
      <w:pPr>
        <w:shd w:val="clear" w:color="auto" w:fill="FFFFFF"/>
        <w:jc w:val="both"/>
        <w:rPr>
          <w:rFonts w:ascii="Calibri" w:hAnsi="Calibri" w:cs="Times New Roman"/>
          <w:sz w:val="22"/>
        </w:rPr>
      </w:pPr>
    </w:p>
    <w:p w14:paraId="423EA81E" w14:textId="5F2C4D12" w:rsidR="008F7E8A" w:rsidRDefault="00911FC6" w:rsidP="00911FC6">
      <w:pPr>
        <w:shd w:val="clear" w:color="auto" w:fill="FFFFFF"/>
        <w:jc w:val="both"/>
        <w:rPr>
          <w:rFonts w:ascii="Calibri" w:hAnsi="Calibri" w:cs="Times New Roman"/>
          <w:b/>
          <w:sz w:val="22"/>
        </w:rPr>
      </w:pPr>
      <w:bookmarkStart w:id="1" w:name="_Hlk515472652"/>
      <w:r>
        <w:rPr>
          <w:rFonts w:ascii="Calibri" w:hAnsi="Calibri" w:cs="Times New Roman"/>
          <w:sz w:val="22"/>
        </w:rPr>
        <w:t xml:space="preserve">The </w:t>
      </w:r>
      <w:r w:rsidR="006A2CB3">
        <w:rPr>
          <w:rFonts w:ascii="Calibri" w:hAnsi="Calibri" w:cs="Times New Roman"/>
          <w:sz w:val="22"/>
        </w:rPr>
        <w:t>Corporation has</w:t>
      </w:r>
      <w:r>
        <w:rPr>
          <w:rFonts w:ascii="Calibri" w:hAnsi="Calibri" w:cs="Times New Roman"/>
          <w:sz w:val="22"/>
        </w:rPr>
        <w:t xml:space="preserve"> calculated</w:t>
      </w:r>
      <w:r w:rsidR="006A2CB3">
        <w:rPr>
          <w:rFonts w:ascii="Calibri" w:hAnsi="Calibri" w:cs="Times New Roman"/>
          <w:sz w:val="22"/>
        </w:rPr>
        <w:t xml:space="preserve"> these metrics</w:t>
      </w:r>
      <w:r>
        <w:rPr>
          <w:rFonts w:ascii="Calibri" w:hAnsi="Calibri" w:cs="Times New Roman"/>
          <w:sz w:val="22"/>
        </w:rPr>
        <w:t xml:space="preserve"> based on the</w:t>
      </w:r>
      <w:r w:rsidR="00632A6D">
        <w:rPr>
          <w:rFonts w:ascii="Calibri" w:hAnsi="Calibri" w:cs="Times New Roman"/>
          <w:sz w:val="22"/>
        </w:rPr>
        <w:t xml:space="preserve"> enterprise value,</w:t>
      </w:r>
      <w:r>
        <w:rPr>
          <w:rFonts w:ascii="Calibri" w:hAnsi="Calibri" w:cs="Times New Roman"/>
          <w:sz w:val="22"/>
        </w:rPr>
        <w:t xml:space="preserve"> </w:t>
      </w:r>
      <w:r w:rsidR="00825053">
        <w:rPr>
          <w:rFonts w:ascii="Calibri" w:hAnsi="Calibri" w:cs="Times New Roman"/>
          <w:sz w:val="22"/>
        </w:rPr>
        <w:t>“</w:t>
      </w:r>
      <w:r w:rsidRPr="00825053">
        <w:rPr>
          <w:rFonts w:ascii="Calibri" w:hAnsi="Calibri" w:cs="Times New Roman"/>
          <w:b/>
          <w:sz w:val="22"/>
        </w:rPr>
        <w:t>Report</w:t>
      </w:r>
      <w:r w:rsidR="00825053">
        <w:rPr>
          <w:rFonts w:ascii="Calibri" w:hAnsi="Calibri" w:cs="Times New Roman"/>
          <w:sz w:val="22"/>
        </w:rPr>
        <w:t>”</w:t>
      </w:r>
      <w:r w:rsidR="00C73EFC">
        <w:rPr>
          <w:rFonts w:ascii="Calibri" w:hAnsi="Calibri" w:cs="Times New Roman"/>
          <w:sz w:val="22"/>
        </w:rPr>
        <w:t xml:space="preserve"> and </w:t>
      </w:r>
      <w:r w:rsidR="00523278">
        <w:rPr>
          <w:rFonts w:ascii="Calibri" w:hAnsi="Calibri" w:cs="Times New Roman"/>
          <w:sz w:val="22"/>
        </w:rPr>
        <w:t>forecasted</w:t>
      </w:r>
      <w:r w:rsidR="009B1222">
        <w:rPr>
          <w:rFonts w:ascii="Calibri" w:hAnsi="Calibri" w:cs="Times New Roman"/>
          <w:sz w:val="22"/>
        </w:rPr>
        <w:t xml:space="preserve"> </w:t>
      </w:r>
      <w:r w:rsidR="00C73EFC">
        <w:rPr>
          <w:rFonts w:ascii="Calibri" w:hAnsi="Calibri" w:cs="Times New Roman"/>
          <w:sz w:val="22"/>
        </w:rPr>
        <w:t xml:space="preserve">average daily production (net working interest, </w:t>
      </w:r>
      <w:r w:rsidR="009B1222">
        <w:rPr>
          <w:rFonts w:ascii="Calibri" w:hAnsi="Calibri" w:cs="Times New Roman"/>
          <w:sz w:val="22"/>
        </w:rPr>
        <w:t>after</w:t>
      </w:r>
      <w:r w:rsidR="00C73EFC">
        <w:rPr>
          <w:rFonts w:ascii="Calibri" w:hAnsi="Calibri" w:cs="Times New Roman"/>
          <w:sz w:val="22"/>
        </w:rPr>
        <w:t xml:space="preserve"> royalties) for </w:t>
      </w:r>
      <w:r w:rsidR="008B5EDC">
        <w:rPr>
          <w:rFonts w:ascii="Calibri" w:hAnsi="Calibri" w:cs="Times New Roman"/>
          <w:sz w:val="22"/>
        </w:rPr>
        <w:t>H2</w:t>
      </w:r>
      <w:r w:rsidR="00C73EFC">
        <w:rPr>
          <w:rFonts w:ascii="Calibri" w:hAnsi="Calibri" w:cs="Times New Roman"/>
          <w:sz w:val="22"/>
        </w:rPr>
        <w:t xml:space="preserve"> 2018.</w:t>
      </w:r>
      <w:r w:rsidR="000F45C6">
        <w:rPr>
          <w:rFonts w:ascii="Calibri" w:hAnsi="Calibri" w:cs="Times New Roman"/>
          <w:sz w:val="22"/>
        </w:rPr>
        <w:t xml:space="preserve"> EBITDA has been calculated using Brent</w:t>
      </w:r>
      <w:r w:rsidR="00825053">
        <w:rPr>
          <w:rFonts w:ascii="Calibri" w:hAnsi="Calibri" w:cs="Times New Roman"/>
          <w:sz w:val="22"/>
        </w:rPr>
        <w:t xml:space="preserve"> strip pricing</w:t>
      </w:r>
      <w:r w:rsidR="000F45C6">
        <w:rPr>
          <w:rFonts w:ascii="Calibri" w:hAnsi="Calibri" w:cs="Times New Roman"/>
          <w:sz w:val="22"/>
        </w:rPr>
        <w:t xml:space="preserve"> </w:t>
      </w:r>
      <w:r w:rsidR="00D645DD">
        <w:rPr>
          <w:rFonts w:ascii="Calibri" w:hAnsi="Calibri" w:cs="Times New Roman"/>
          <w:sz w:val="22"/>
        </w:rPr>
        <w:t xml:space="preserve">as </w:t>
      </w:r>
      <w:r w:rsidR="00825053">
        <w:rPr>
          <w:rFonts w:ascii="Calibri" w:hAnsi="Calibri" w:cs="Times New Roman"/>
          <w:sz w:val="22"/>
        </w:rPr>
        <w:t>of</w:t>
      </w:r>
      <w:r w:rsidR="000F45C6">
        <w:rPr>
          <w:rFonts w:ascii="Calibri" w:hAnsi="Calibri" w:cs="Times New Roman"/>
          <w:sz w:val="22"/>
        </w:rPr>
        <w:t xml:space="preserve"> </w:t>
      </w:r>
      <w:r w:rsidR="00D645DD">
        <w:rPr>
          <w:rFonts w:ascii="Calibri" w:hAnsi="Calibri" w:cs="Times New Roman"/>
          <w:sz w:val="22"/>
        </w:rPr>
        <w:t>May 29, 2018</w:t>
      </w:r>
      <w:r w:rsidR="00825053">
        <w:rPr>
          <w:rFonts w:ascii="Calibri" w:hAnsi="Calibri" w:cs="Times New Roman"/>
          <w:sz w:val="22"/>
        </w:rPr>
        <w:t xml:space="preserve"> for H2 2018.</w:t>
      </w:r>
    </w:p>
    <w:bookmarkEnd w:id="1"/>
    <w:p w14:paraId="78C4696D" w14:textId="77777777" w:rsidR="000F45C6" w:rsidRDefault="000F45C6" w:rsidP="00911FC6">
      <w:pPr>
        <w:shd w:val="clear" w:color="auto" w:fill="FFFFFF"/>
        <w:jc w:val="both"/>
        <w:rPr>
          <w:rFonts w:ascii="Calibri" w:hAnsi="Calibri" w:cs="Times New Roman"/>
          <w:sz w:val="22"/>
        </w:rPr>
      </w:pPr>
    </w:p>
    <w:p w14:paraId="220D7555" w14:textId="5E2B359A" w:rsidR="000F45C6" w:rsidRDefault="000F45C6" w:rsidP="00911FC6">
      <w:pPr>
        <w:shd w:val="clear" w:color="auto" w:fill="FFFFFF"/>
        <w:jc w:val="both"/>
        <w:rPr>
          <w:rFonts w:ascii="Calibri" w:hAnsi="Calibri" w:cs="Times New Roman"/>
          <w:sz w:val="22"/>
        </w:rPr>
      </w:pPr>
      <w:r>
        <w:rPr>
          <w:rFonts w:ascii="Calibri" w:hAnsi="Calibri" w:cs="Times New Roman"/>
          <w:sz w:val="22"/>
        </w:rPr>
        <w:t xml:space="preserve">The Cohembi field in the Suroriente block has </w:t>
      </w:r>
      <w:r w:rsidR="004E0CED" w:rsidRPr="00621DC7">
        <w:rPr>
          <w:rFonts w:ascii="Calibri" w:hAnsi="Calibri" w:cs="Times New Roman"/>
          <w:sz w:val="22"/>
        </w:rPr>
        <w:t>9</w:t>
      </w:r>
      <w:r w:rsidRPr="00621DC7">
        <w:rPr>
          <w:rFonts w:ascii="Calibri" w:hAnsi="Calibri" w:cs="Times New Roman"/>
          <w:b/>
          <w:sz w:val="22"/>
        </w:rPr>
        <w:t xml:space="preserve"> </w:t>
      </w:r>
      <w:r w:rsidRPr="000F45C6">
        <w:rPr>
          <w:rFonts w:ascii="Calibri" w:hAnsi="Calibri" w:cs="Times New Roman"/>
          <w:sz w:val="22"/>
        </w:rPr>
        <w:t xml:space="preserve">identified </w:t>
      </w:r>
      <w:r w:rsidR="00D54431">
        <w:rPr>
          <w:rFonts w:ascii="Calibri" w:hAnsi="Calibri" w:cs="Times New Roman"/>
          <w:sz w:val="22"/>
        </w:rPr>
        <w:t>proven undeveloped (PUD)</w:t>
      </w:r>
      <w:r w:rsidRPr="000F45C6">
        <w:rPr>
          <w:rFonts w:ascii="Calibri" w:hAnsi="Calibri" w:cs="Times New Roman"/>
          <w:sz w:val="22"/>
        </w:rPr>
        <w:t xml:space="preserve"> locations as well as</w:t>
      </w:r>
      <w:r>
        <w:rPr>
          <w:rFonts w:ascii="Calibri" w:hAnsi="Calibri" w:cs="Times New Roman"/>
          <w:b/>
          <w:sz w:val="22"/>
        </w:rPr>
        <w:t xml:space="preserve"> </w:t>
      </w:r>
      <w:r w:rsidR="004E0CED" w:rsidRPr="00621DC7">
        <w:rPr>
          <w:rFonts w:ascii="Calibri" w:hAnsi="Calibri" w:cs="Times New Roman"/>
          <w:sz w:val="22"/>
        </w:rPr>
        <w:t>17</w:t>
      </w:r>
      <w:r>
        <w:rPr>
          <w:rFonts w:ascii="Calibri" w:hAnsi="Calibri" w:cs="Times New Roman"/>
          <w:b/>
          <w:sz w:val="22"/>
        </w:rPr>
        <w:t xml:space="preserve"> </w:t>
      </w:r>
      <w:r w:rsidRPr="000F45C6">
        <w:rPr>
          <w:rFonts w:ascii="Calibri" w:hAnsi="Calibri" w:cs="Times New Roman"/>
          <w:sz w:val="22"/>
        </w:rPr>
        <w:t>probable locations which are all drill ready</w:t>
      </w:r>
      <w:r>
        <w:rPr>
          <w:rFonts w:ascii="Calibri" w:hAnsi="Calibri" w:cs="Times New Roman"/>
          <w:sz w:val="22"/>
        </w:rPr>
        <w:t xml:space="preserve"> and are expected to be drilled </w:t>
      </w:r>
      <w:r w:rsidR="00AF2958">
        <w:rPr>
          <w:rFonts w:ascii="Calibri" w:hAnsi="Calibri" w:cs="Times New Roman"/>
          <w:sz w:val="22"/>
        </w:rPr>
        <w:t>after closing</w:t>
      </w:r>
      <w:r w:rsidR="00A94662">
        <w:rPr>
          <w:rFonts w:ascii="Calibri" w:hAnsi="Calibri" w:cs="Times New Roman"/>
          <w:sz w:val="22"/>
        </w:rPr>
        <w:t xml:space="preserve"> of the Transaction</w:t>
      </w:r>
      <w:r>
        <w:rPr>
          <w:rFonts w:ascii="Calibri" w:hAnsi="Calibri" w:cs="Times New Roman"/>
          <w:sz w:val="22"/>
        </w:rPr>
        <w:t xml:space="preserve">. </w:t>
      </w:r>
    </w:p>
    <w:p w14:paraId="45AE502D" w14:textId="77777777" w:rsidR="001F30DB" w:rsidRPr="007C370C" w:rsidRDefault="001F30DB" w:rsidP="00967F98">
      <w:pPr>
        <w:shd w:val="clear" w:color="auto" w:fill="FFFFFF"/>
        <w:jc w:val="both"/>
        <w:rPr>
          <w:rFonts w:ascii="Calibri" w:hAnsi="Calibri" w:cs="Times New Roman"/>
          <w:sz w:val="22"/>
        </w:rPr>
      </w:pPr>
    </w:p>
    <w:p w14:paraId="4B46A8A3" w14:textId="77777777" w:rsidR="001F30DB" w:rsidRPr="007C370C" w:rsidRDefault="007B5503" w:rsidP="001F30DB">
      <w:pPr>
        <w:shd w:val="clear" w:color="auto" w:fill="FFFFFF"/>
        <w:jc w:val="both"/>
        <w:rPr>
          <w:rFonts w:ascii="Calibri" w:hAnsi="Calibri" w:cs="Times New Roman"/>
          <w:b/>
          <w:sz w:val="22"/>
        </w:rPr>
      </w:pPr>
      <w:r>
        <w:rPr>
          <w:rFonts w:ascii="Calibri" w:hAnsi="Calibri" w:cs="Times New Roman"/>
          <w:b/>
          <w:sz w:val="22"/>
        </w:rPr>
        <w:t>The Offering</w:t>
      </w:r>
    </w:p>
    <w:p w14:paraId="70C04A55" w14:textId="77777777" w:rsidR="001F30DB" w:rsidRPr="007C370C" w:rsidRDefault="001F30DB" w:rsidP="001F30DB">
      <w:pPr>
        <w:shd w:val="clear" w:color="auto" w:fill="FFFFFF"/>
        <w:jc w:val="both"/>
        <w:rPr>
          <w:rFonts w:ascii="Calibri" w:hAnsi="Calibri" w:cs="Times New Roman"/>
          <w:b/>
          <w:sz w:val="22"/>
        </w:rPr>
      </w:pPr>
    </w:p>
    <w:p w14:paraId="1BF085E8" w14:textId="558A0BDC" w:rsidR="001F30DB" w:rsidRDefault="008F6D5C" w:rsidP="008C074C">
      <w:pPr>
        <w:shd w:val="clear" w:color="auto" w:fill="FFFFFF"/>
        <w:jc w:val="both"/>
        <w:rPr>
          <w:rFonts w:ascii="Calibri" w:hAnsi="Calibri" w:cs="Times New Roman"/>
          <w:sz w:val="22"/>
        </w:rPr>
      </w:pPr>
      <w:r>
        <w:rPr>
          <w:rFonts w:ascii="Calibri" w:hAnsi="Calibri" w:cs="Times New Roman"/>
          <w:sz w:val="22"/>
        </w:rPr>
        <w:t>In connection with the Transaction, t</w:t>
      </w:r>
      <w:r w:rsidR="001F30DB" w:rsidRPr="007C370C">
        <w:rPr>
          <w:rFonts w:ascii="Calibri" w:hAnsi="Calibri" w:cs="Times New Roman"/>
          <w:sz w:val="22"/>
        </w:rPr>
        <w:t>he Co</w:t>
      </w:r>
      <w:r w:rsidR="002E2F48">
        <w:rPr>
          <w:rFonts w:ascii="Calibri" w:hAnsi="Calibri" w:cs="Times New Roman"/>
          <w:sz w:val="22"/>
        </w:rPr>
        <w:t>rporation</w:t>
      </w:r>
      <w:r w:rsidR="001F30DB" w:rsidRPr="007C370C">
        <w:rPr>
          <w:rFonts w:ascii="Calibri" w:hAnsi="Calibri" w:cs="Times New Roman"/>
          <w:sz w:val="22"/>
        </w:rPr>
        <w:t xml:space="preserve"> </w:t>
      </w:r>
      <w:r w:rsidR="008C074C">
        <w:rPr>
          <w:rFonts w:ascii="Calibri" w:hAnsi="Calibri" w:cs="Times New Roman"/>
          <w:sz w:val="22"/>
        </w:rPr>
        <w:t xml:space="preserve">has </w:t>
      </w:r>
      <w:r w:rsidR="008C074C" w:rsidRPr="008C074C">
        <w:rPr>
          <w:rFonts w:ascii="Calibri" w:hAnsi="Calibri" w:cs="Times New Roman"/>
          <w:sz w:val="22"/>
        </w:rPr>
        <w:t>entered into an agreement with Laurentian Bank Securities Inc. and Canaccord Genuity Corp.</w:t>
      </w:r>
      <w:r w:rsidR="008C074C">
        <w:rPr>
          <w:rFonts w:ascii="Calibri" w:hAnsi="Calibri" w:cs="Times New Roman"/>
          <w:sz w:val="22"/>
        </w:rPr>
        <w:t xml:space="preserve">, </w:t>
      </w:r>
      <w:r w:rsidR="008C074C" w:rsidRPr="008C074C">
        <w:rPr>
          <w:rFonts w:ascii="Calibri" w:hAnsi="Calibri" w:cs="Times New Roman"/>
          <w:sz w:val="22"/>
        </w:rPr>
        <w:t>as lead agent</w:t>
      </w:r>
      <w:r>
        <w:rPr>
          <w:rFonts w:ascii="Calibri" w:hAnsi="Calibri" w:cs="Times New Roman"/>
          <w:sz w:val="22"/>
        </w:rPr>
        <w:t>s</w:t>
      </w:r>
      <w:r w:rsidR="003E7B49">
        <w:rPr>
          <w:rFonts w:ascii="Calibri" w:hAnsi="Calibri" w:cs="Times New Roman"/>
          <w:sz w:val="22"/>
        </w:rPr>
        <w:t>,</w:t>
      </w:r>
      <w:r w:rsidR="008C074C" w:rsidRPr="008C074C">
        <w:rPr>
          <w:rFonts w:ascii="Calibri" w:hAnsi="Calibri" w:cs="Times New Roman"/>
          <w:sz w:val="22"/>
        </w:rPr>
        <w:t xml:space="preserve"> on behalf of a syndicate of agents including </w:t>
      </w:r>
      <w:r w:rsidR="006A59D3" w:rsidRPr="006A59D3">
        <w:rPr>
          <w:rFonts w:ascii="Calibri" w:hAnsi="Calibri" w:cs="Times New Roman"/>
          <w:sz w:val="22"/>
        </w:rPr>
        <w:t xml:space="preserve">Eight Capital </w:t>
      </w:r>
      <w:r w:rsidR="006A59D3">
        <w:rPr>
          <w:rFonts w:ascii="Calibri" w:hAnsi="Calibri" w:cs="Times New Roman"/>
          <w:sz w:val="22"/>
        </w:rPr>
        <w:t xml:space="preserve"> and </w:t>
      </w:r>
      <w:r w:rsidR="006E6811">
        <w:rPr>
          <w:rFonts w:ascii="Calibri" w:hAnsi="Calibri" w:cs="Times New Roman"/>
          <w:sz w:val="22"/>
        </w:rPr>
        <w:t>Haywood Securities Inc</w:t>
      </w:r>
      <w:r w:rsidR="0099701B">
        <w:rPr>
          <w:rFonts w:ascii="Calibri" w:hAnsi="Calibri" w:cs="Times New Roman"/>
          <w:sz w:val="22"/>
        </w:rPr>
        <w:t>. (collectively, the “</w:t>
      </w:r>
      <w:r w:rsidR="0099701B" w:rsidRPr="0099701B">
        <w:rPr>
          <w:rFonts w:ascii="Calibri" w:hAnsi="Calibri" w:cs="Times New Roman"/>
          <w:b/>
          <w:sz w:val="22"/>
        </w:rPr>
        <w:t>Agents</w:t>
      </w:r>
      <w:r w:rsidR="0099701B">
        <w:rPr>
          <w:rFonts w:ascii="Calibri" w:hAnsi="Calibri" w:cs="Times New Roman"/>
          <w:sz w:val="22"/>
        </w:rPr>
        <w:t>”)</w:t>
      </w:r>
      <w:r w:rsidR="008C074C" w:rsidRPr="008C074C">
        <w:rPr>
          <w:rFonts w:ascii="Calibri" w:hAnsi="Calibri" w:cs="Times New Roman"/>
          <w:sz w:val="22"/>
        </w:rPr>
        <w:t xml:space="preserve">, who have agreed to sell on a </w:t>
      </w:r>
      <w:r w:rsidR="00BD7FA6">
        <w:rPr>
          <w:rFonts w:ascii="Calibri" w:hAnsi="Calibri" w:cs="Times New Roman"/>
          <w:sz w:val="22"/>
        </w:rPr>
        <w:t>“</w:t>
      </w:r>
      <w:r w:rsidR="008C074C" w:rsidRPr="008C074C">
        <w:rPr>
          <w:rFonts w:ascii="Calibri" w:hAnsi="Calibri" w:cs="Times New Roman"/>
          <w:sz w:val="22"/>
        </w:rPr>
        <w:t>best efforts</w:t>
      </w:r>
      <w:r w:rsidR="00BD7FA6">
        <w:rPr>
          <w:rFonts w:ascii="Calibri" w:hAnsi="Calibri" w:cs="Times New Roman"/>
          <w:sz w:val="22"/>
        </w:rPr>
        <w:t>”</w:t>
      </w:r>
      <w:r w:rsidR="008C074C" w:rsidRPr="008C074C">
        <w:rPr>
          <w:rFonts w:ascii="Calibri" w:hAnsi="Calibri" w:cs="Times New Roman"/>
          <w:sz w:val="22"/>
        </w:rPr>
        <w:t xml:space="preserve"> private placement basis, up to </w:t>
      </w:r>
      <w:r w:rsidR="008C074C">
        <w:rPr>
          <w:rFonts w:ascii="Calibri" w:hAnsi="Calibri" w:cs="Times New Roman"/>
          <w:sz w:val="22"/>
        </w:rPr>
        <w:t>3</w:t>
      </w:r>
      <w:r w:rsidR="00067B71">
        <w:rPr>
          <w:rFonts w:ascii="Calibri" w:hAnsi="Calibri" w:cs="Times New Roman"/>
          <w:sz w:val="22"/>
        </w:rPr>
        <w:t>25</w:t>
      </w:r>
      <w:r w:rsidR="008C074C">
        <w:rPr>
          <w:rFonts w:ascii="Calibri" w:hAnsi="Calibri" w:cs="Times New Roman"/>
          <w:sz w:val="22"/>
        </w:rPr>
        <w:t>,000,000</w:t>
      </w:r>
      <w:r w:rsidR="008C074C" w:rsidRPr="008C074C">
        <w:rPr>
          <w:rFonts w:ascii="Calibri" w:hAnsi="Calibri" w:cs="Times New Roman"/>
          <w:sz w:val="22"/>
        </w:rPr>
        <w:t xml:space="preserve"> </w:t>
      </w:r>
      <w:r w:rsidR="0099701B">
        <w:rPr>
          <w:rFonts w:ascii="Calibri" w:hAnsi="Calibri" w:cs="Times New Roman"/>
          <w:sz w:val="22"/>
        </w:rPr>
        <w:t>S</w:t>
      </w:r>
      <w:r w:rsidR="008C074C" w:rsidRPr="008C074C">
        <w:rPr>
          <w:rFonts w:ascii="Calibri" w:hAnsi="Calibri" w:cs="Times New Roman"/>
          <w:sz w:val="22"/>
        </w:rPr>
        <w:t xml:space="preserve">ubscription </w:t>
      </w:r>
      <w:r w:rsidR="0099701B">
        <w:rPr>
          <w:rFonts w:ascii="Calibri" w:hAnsi="Calibri" w:cs="Times New Roman"/>
          <w:sz w:val="22"/>
        </w:rPr>
        <w:t>R</w:t>
      </w:r>
      <w:r w:rsidR="008C074C" w:rsidRPr="008C074C">
        <w:rPr>
          <w:rFonts w:ascii="Calibri" w:hAnsi="Calibri" w:cs="Times New Roman"/>
          <w:sz w:val="22"/>
        </w:rPr>
        <w:t xml:space="preserve">eceipts at a price of </w:t>
      </w:r>
      <w:r w:rsidR="00331C29">
        <w:rPr>
          <w:rFonts w:ascii="Calibri" w:hAnsi="Calibri" w:cs="Times New Roman"/>
          <w:sz w:val="22"/>
        </w:rPr>
        <w:t>C</w:t>
      </w:r>
      <w:r w:rsidR="008C074C" w:rsidRPr="008C074C">
        <w:rPr>
          <w:rFonts w:ascii="Calibri" w:hAnsi="Calibri" w:cs="Times New Roman"/>
          <w:sz w:val="22"/>
        </w:rPr>
        <w:t>$</w:t>
      </w:r>
      <w:r w:rsidR="008C074C">
        <w:rPr>
          <w:rFonts w:ascii="Calibri" w:hAnsi="Calibri" w:cs="Times New Roman"/>
          <w:sz w:val="22"/>
        </w:rPr>
        <w:t>0.40</w:t>
      </w:r>
      <w:r w:rsidR="008C074C" w:rsidRPr="008C074C">
        <w:rPr>
          <w:rFonts w:ascii="Calibri" w:hAnsi="Calibri" w:cs="Times New Roman"/>
          <w:sz w:val="22"/>
        </w:rPr>
        <w:t xml:space="preserve"> per Subscription Receipt, for aggregate gross proceeds of up to </w:t>
      </w:r>
      <w:r w:rsidR="00331C29">
        <w:rPr>
          <w:rFonts w:ascii="Calibri" w:hAnsi="Calibri" w:cs="Times New Roman"/>
          <w:sz w:val="22"/>
        </w:rPr>
        <w:t>C</w:t>
      </w:r>
      <w:r w:rsidR="008C074C" w:rsidRPr="008C074C">
        <w:rPr>
          <w:rFonts w:ascii="Calibri" w:hAnsi="Calibri" w:cs="Times New Roman"/>
          <w:sz w:val="22"/>
        </w:rPr>
        <w:t>$</w:t>
      </w:r>
      <w:r w:rsidR="008C074C">
        <w:rPr>
          <w:rFonts w:ascii="Calibri" w:hAnsi="Calibri" w:cs="Times New Roman"/>
          <w:sz w:val="22"/>
        </w:rPr>
        <w:t>1</w:t>
      </w:r>
      <w:r w:rsidR="00067B71">
        <w:rPr>
          <w:rFonts w:ascii="Calibri" w:hAnsi="Calibri" w:cs="Times New Roman"/>
          <w:sz w:val="22"/>
        </w:rPr>
        <w:t>3</w:t>
      </w:r>
      <w:r w:rsidR="008C074C">
        <w:rPr>
          <w:rFonts w:ascii="Calibri" w:hAnsi="Calibri" w:cs="Times New Roman"/>
          <w:sz w:val="22"/>
        </w:rPr>
        <w:t>0,000,000</w:t>
      </w:r>
      <w:r w:rsidR="008C074C" w:rsidRPr="008C074C">
        <w:rPr>
          <w:rFonts w:ascii="Calibri" w:hAnsi="Calibri" w:cs="Times New Roman"/>
          <w:sz w:val="22"/>
        </w:rPr>
        <w:t xml:space="preserve"> (the </w:t>
      </w:r>
      <w:r w:rsidR="00BD7FA6">
        <w:rPr>
          <w:rFonts w:ascii="Calibri" w:hAnsi="Calibri" w:cs="Times New Roman"/>
          <w:sz w:val="22"/>
        </w:rPr>
        <w:t>“</w:t>
      </w:r>
      <w:r w:rsidR="008C074C" w:rsidRPr="008C074C">
        <w:rPr>
          <w:rFonts w:ascii="Calibri" w:hAnsi="Calibri" w:cs="Times New Roman"/>
          <w:b/>
          <w:sz w:val="22"/>
        </w:rPr>
        <w:t>Offering</w:t>
      </w:r>
      <w:r w:rsidR="00BD7FA6">
        <w:rPr>
          <w:rFonts w:ascii="Calibri" w:hAnsi="Calibri" w:cs="Times New Roman"/>
          <w:sz w:val="22"/>
        </w:rPr>
        <w:t>”</w:t>
      </w:r>
      <w:r w:rsidR="008C074C">
        <w:rPr>
          <w:rFonts w:ascii="Calibri" w:hAnsi="Calibri" w:cs="Times New Roman"/>
          <w:sz w:val="22"/>
        </w:rPr>
        <w:t xml:space="preserve">).  </w:t>
      </w:r>
      <w:r w:rsidR="008C074C" w:rsidRPr="008C074C">
        <w:rPr>
          <w:rFonts w:ascii="Calibri" w:hAnsi="Calibri" w:cs="Times New Roman"/>
          <w:sz w:val="22"/>
        </w:rPr>
        <w:t>The gross proceeds from the Offering will be deposited and held in escrow and shall be released immediately prior to the completion of the Transaction upon the satisfaction of certain conditio</w:t>
      </w:r>
      <w:r w:rsidR="008C074C">
        <w:rPr>
          <w:rFonts w:ascii="Calibri" w:hAnsi="Calibri" w:cs="Times New Roman"/>
          <w:sz w:val="22"/>
        </w:rPr>
        <w:t xml:space="preserve">ns. </w:t>
      </w:r>
      <w:r w:rsidR="00C67D5B">
        <w:rPr>
          <w:rFonts w:ascii="Calibri" w:hAnsi="Calibri" w:cs="Times New Roman"/>
          <w:sz w:val="22"/>
        </w:rPr>
        <w:t>Closing of the Offering is subject to customary conditions and regulatory approvals, including approval of the TSX Venture Exchange.</w:t>
      </w:r>
      <w:r w:rsidR="008C074C">
        <w:rPr>
          <w:rFonts w:ascii="Calibri" w:hAnsi="Calibri" w:cs="Times New Roman"/>
          <w:sz w:val="22"/>
        </w:rPr>
        <w:t xml:space="preserve"> </w:t>
      </w:r>
    </w:p>
    <w:p w14:paraId="754DE5D4" w14:textId="77777777" w:rsidR="008C074C" w:rsidRDefault="008C074C" w:rsidP="008C074C">
      <w:pPr>
        <w:shd w:val="clear" w:color="auto" w:fill="FFFFFF"/>
        <w:jc w:val="both"/>
        <w:rPr>
          <w:rFonts w:ascii="Calibri" w:hAnsi="Calibri" w:cs="Times New Roman"/>
          <w:sz w:val="22"/>
        </w:rPr>
      </w:pPr>
    </w:p>
    <w:p w14:paraId="4876D9F8" w14:textId="37FEFD8E" w:rsidR="00F26B75" w:rsidRDefault="008C074C" w:rsidP="008C074C">
      <w:pPr>
        <w:shd w:val="clear" w:color="auto" w:fill="FFFFFF"/>
        <w:jc w:val="both"/>
        <w:rPr>
          <w:rFonts w:ascii="Calibri" w:hAnsi="Calibri" w:cs="Times New Roman"/>
          <w:sz w:val="22"/>
        </w:rPr>
      </w:pPr>
      <w:r w:rsidRPr="008C074C">
        <w:rPr>
          <w:rFonts w:ascii="Calibri" w:hAnsi="Calibri" w:cs="Times New Roman"/>
          <w:sz w:val="22"/>
        </w:rPr>
        <w:t xml:space="preserve">Each Subscription Receipt will entitle the holder thereof to receive one </w:t>
      </w:r>
      <w:r w:rsidR="00F26B75">
        <w:rPr>
          <w:rFonts w:ascii="Calibri" w:hAnsi="Calibri" w:cs="Times New Roman"/>
          <w:sz w:val="22"/>
        </w:rPr>
        <w:t>common share of New Stratus (</w:t>
      </w:r>
      <w:r w:rsidR="00BD7FA6">
        <w:rPr>
          <w:rFonts w:ascii="Calibri" w:hAnsi="Calibri" w:cs="Times New Roman"/>
          <w:sz w:val="22"/>
        </w:rPr>
        <w:t>“</w:t>
      </w:r>
      <w:r w:rsidR="00F26B75" w:rsidRPr="00F26B75">
        <w:rPr>
          <w:rFonts w:ascii="Calibri" w:hAnsi="Calibri" w:cs="Times New Roman"/>
          <w:b/>
          <w:sz w:val="22"/>
        </w:rPr>
        <w:t>Common Share</w:t>
      </w:r>
      <w:r w:rsidR="00BD7FA6">
        <w:rPr>
          <w:rFonts w:ascii="Calibri" w:hAnsi="Calibri" w:cs="Times New Roman"/>
          <w:sz w:val="22"/>
        </w:rPr>
        <w:t>”</w:t>
      </w:r>
      <w:r w:rsidR="00F26B75">
        <w:rPr>
          <w:rFonts w:ascii="Calibri" w:hAnsi="Calibri" w:cs="Times New Roman"/>
          <w:sz w:val="22"/>
        </w:rPr>
        <w:t>) and one-half of one warrant of New Stratus (</w:t>
      </w:r>
      <w:r w:rsidR="00BD7FA6">
        <w:rPr>
          <w:rFonts w:ascii="Calibri" w:hAnsi="Calibri" w:cs="Times New Roman"/>
          <w:sz w:val="22"/>
        </w:rPr>
        <w:t>“</w:t>
      </w:r>
      <w:r w:rsidR="00F26B75" w:rsidRPr="00F26B75">
        <w:rPr>
          <w:rFonts w:ascii="Calibri" w:hAnsi="Calibri" w:cs="Times New Roman"/>
          <w:b/>
          <w:sz w:val="22"/>
        </w:rPr>
        <w:t>Warrant</w:t>
      </w:r>
      <w:r w:rsidR="00BD7FA6">
        <w:rPr>
          <w:rFonts w:ascii="Calibri" w:hAnsi="Calibri" w:cs="Times New Roman"/>
          <w:sz w:val="22"/>
        </w:rPr>
        <w:t>”</w:t>
      </w:r>
      <w:r w:rsidR="00F26B75">
        <w:rPr>
          <w:rFonts w:ascii="Calibri" w:hAnsi="Calibri" w:cs="Times New Roman"/>
          <w:sz w:val="22"/>
        </w:rPr>
        <w:t>)</w:t>
      </w:r>
      <w:r w:rsidRPr="008C074C">
        <w:rPr>
          <w:rFonts w:ascii="Calibri" w:hAnsi="Calibri" w:cs="Times New Roman"/>
          <w:sz w:val="22"/>
        </w:rPr>
        <w:t xml:space="preserve"> on the </w:t>
      </w:r>
      <w:r w:rsidR="00C67D5B">
        <w:rPr>
          <w:rFonts w:ascii="Calibri" w:hAnsi="Calibri" w:cs="Times New Roman"/>
          <w:sz w:val="22"/>
        </w:rPr>
        <w:t>conversion</w:t>
      </w:r>
      <w:r w:rsidRPr="008C074C">
        <w:rPr>
          <w:rFonts w:ascii="Calibri" w:hAnsi="Calibri" w:cs="Times New Roman"/>
          <w:sz w:val="22"/>
        </w:rPr>
        <w:t xml:space="preserve"> of the Subscription Receipt. The Subscription Receipts will b</w:t>
      </w:r>
      <w:r>
        <w:rPr>
          <w:rFonts w:ascii="Calibri" w:hAnsi="Calibri" w:cs="Times New Roman"/>
          <w:sz w:val="22"/>
        </w:rPr>
        <w:t xml:space="preserve">e deemed to be </w:t>
      </w:r>
      <w:r w:rsidR="00C67D5B">
        <w:rPr>
          <w:rFonts w:ascii="Calibri" w:hAnsi="Calibri" w:cs="Times New Roman"/>
          <w:sz w:val="22"/>
        </w:rPr>
        <w:t>converted</w:t>
      </w:r>
      <w:r>
        <w:rPr>
          <w:rFonts w:ascii="Calibri" w:hAnsi="Calibri" w:cs="Times New Roman"/>
          <w:sz w:val="22"/>
        </w:rPr>
        <w:t xml:space="preserve"> on the </w:t>
      </w:r>
      <w:r w:rsidRPr="008C074C">
        <w:rPr>
          <w:rFonts w:ascii="Calibri" w:hAnsi="Calibri" w:cs="Times New Roman"/>
          <w:sz w:val="22"/>
        </w:rPr>
        <w:t xml:space="preserve">earlier of: </w:t>
      </w:r>
      <w:r w:rsidR="00F26B75" w:rsidRPr="00F26B75">
        <w:rPr>
          <w:rFonts w:ascii="Calibri" w:hAnsi="Calibri" w:cs="Times New Roman"/>
          <w:sz w:val="22"/>
        </w:rPr>
        <w:t xml:space="preserve">(i) the third business day after a receipt is issued for a final prospectus (a </w:t>
      </w:r>
      <w:r w:rsidR="00BD7FA6">
        <w:rPr>
          <w:rFonts w:ascii="Calibri" w:hAnsi="Calibri" w:cs="Times New Roman"/>
          <w:sz w:val="22"/>
        </w:rPr>
        <w:t>“</w:t>
      </w:r>
      <w:r w:rsidR="00F26B75" w:rsidRPr="00C834EC">
        <w:rPr>
          <w:rFonts w:ascii="Calibri" w:hAnsi="Calibri" w:cs="Times New Roman"/>
          <w:b/>
          <w:sz w:val="22"/>
        </w:rPr>
        <w:t>Final Prospectus</w:t>
      </w:r>
      <w:r w:rsidR="00BD7FA6">
        <w:rPr>
          <w:rFonts w:ascii="Calibri" w:hAnsi="Calibri" w:cs="Times New Roman"/>
          <w:sz w:val="22"/>
        </w:rPr>
        <w:t>”</w:t>
      </w:r>
      <w:r w:rsidR="00F26B75" w:rsidRPr="00F26B75">
        <w:rPr>
          <w:rFonts w:ascii="Calibri" w:hAnsi="Calibri" w:cs="Times New Roman"/>
          <w:sz w:val="22"/>
        </w:rPr>
        <w:t xml:space="preserve">) by the securities regulatory authorities in the </w:t>
      </w:r>
      <w:r w:rsidR="008F6D5C">
        <w:rPr>
          <w:rFonts w:ascii="Calibri" w:hAnsi="Calibri" w:cs="Times New Roman"/>
          <w:sz w:val="22"/>
        </w:rPr>
        <w:t xml:space="preserve">Canadian </w:t>
      </w:r>
      <w:r w:rsidR="00F26B75">
        <w:rPr>
          <w:rFonts w:ascii="Calibri" w:hAnsi="Calibri" w:cs="Times New Roman"/>
          <w:sz w:val="22"/>
        </w:rPr>
        <w:t>offering jurisdictions, qualifying the C</w:t>
      </w:r>
      <w:r w:rsidR="00F26B75" w:rsidRPr="00F26B75">
        <w:rPr>
          <w:rFonts w:ascii="Calibri" w:hAnsi="Calibri" w:cs="Times New Roman"/>
          <w:sz w:val="22"/>
        </w:rPr>
        <w:t xml:space="preserve">ommon </w:t>
      </w:r>
      <w:r w:rsidR="00F26B75">
        <w:rPr>
          <w:rFonts w:ascii="Calibri" w:hAnsi="Calibri" w:cs="Times New Roman"/>
          <w:sz w:val="22"/>
        </w:rPr>
        <w:t>S</w:t>
      </w:r>
      <w:r w:rsidR="00F26B75" w:rsidRPr="00F26B75">
        <w:rPr>
          <w:rFonts w:ascii="Calibri" w:hAnsi="Calibri" w:cs="Times New Roman"/>
          <w:sz w:val="22"/>
        </w:rPr>
        <w:t xml:space="preserve">hares to be issued upon </w:t>
      </w:r>
      <w:r w:rsidR="00C67D5B">
        <w:rPr>
          <w:rFonts w:ascii="Calibri" w:hAnsi="Calibri" w:cs="Times New Roman"/>
          <w:sz w:val="22"/>
        </w:rPr>
        <w:t>conversion</w:t>
      </w:r>
      <w:r w:rsidR="00F43778">
        <w:rPr>
          <w:rFonts w:ascii="Calibri" w:hAnsi="Calibri" w:cs="Times New Roman"/>
          <w:sz w:val="22"/>
        </w:rPr>
        <w:t xml:space="preserve"> </w:t>
      </w:r>
      <w:r w:rsidR="00F26B75" w:rsidRPr="00F26B75">
        <w:rPr>
          <w:rFonts w:ascii="Calibri" w:hAnsi="Calibri" w:cs="Times New Roman"/>
          <w:sz w:val="22"/>
        </w:rPr>
        <w:t>of</w:t>
      </w:r>
      <w:r w:rsidR="00F26B75">
        <w:rPr>
          <w:rFonts w:ascii="Calibri" w:hAnsi="Calibri" w:cs="Times New Roman"/>
          <w:sz w:val="22"/>
        </w:rPr>
        <w:t xml:space="preserve"> the Subscription Receipts and Warrants</w:t>
      </w:r>
      <w:r w:rsidR="008F6D5C">
        <w:rPr>
          <w:rFonts w:ascii="Calibri" w:hAnsi="Calibri" w:cs="Times New Roman"/>
          <w:sz w:val="22"/>
        </w:rPr>
        <w:t>;</w:t>
      </w:r>
      <w:r w:rsidR="00F26B75">
        <w:rPr>
          <w:rFonts w:ascii="Calibri" w:hAnsi="Calibri" w:cs="Times New Roman"/>
          <w:sz w:val="22"/>
        </w:rPr>
        <w:t xml:space="preserve"> and (ii) four </w:t>
      </w:r>
      <w:r w:rsidR="00F26B75" w:rsidRPr="00F26B75">
        <w:rPr>
          <w:rFonts w:ascii="Calibri" w:hAnsi="Calibri" w:cs="Times New Roman"/>
          <w:sz w:val="22"/>
        </w:rPr>
        <w:t xml:space="preserve">months and a day after the </w:t>
      </w:r>
      <w:r w:rsidR="00F26B75">
        <w:rPr>
          <w:rFonts w:ascii="Calibri" w:hAnsi="Calibri" w:cs="Times New Roman"/>
          <w:sz w:val="22"/>
        </w:rPr>
        <w:t>closing d</w:t>
      </w:r>
      <w:r w:rsidR="00F26B75" w:rsidRPr="00F26B75">
        <w:rPr>
          <w:rFonts w:ascii="Calibri" w:hAnsi="Calibri" w:cs="Times New Roman"/>
          <w:sz w:val="22"/>
        </w:rPr>
        <w:t>ate</w:t>
      </w:r>
      <w:r w:rsidR="00F26B75">
        <w:rPr>
          <w:rFonts w:ascii="Calibri" w:hAnsi="Calibri" w:cs="Times New Roman"/>
          <w:sz w:val="22"/>
        </w:rPr>
        <w:t xml:space="preserve"> of the Offering</w:t>
      </w:r>
      <w:r w:rsidR="00F26B75" w:rsidRPr="00F26B75">
        <w:rPr>
          <w:rFonts w:ascii="Calibri" w:hAnsi="Calibri" w:cs="Times New Roman"/>
          <w:sz w:val="22"/>
        </w:rPr>
        <w:t xml:space="preserve">. Each whole </w:t>
      </w:r>
      <w:r w:rsidR="008F6D5C">
        <w:rPr>
          <w:rFonts w:ascii="Calibri" w:hAnsi="Calibri" w:cs="Times New Roman"/>
          <w:sz w:val="22"/>
        </w:rPr>
        <w:t>Warrant will be exercisable into</w:t>
      </w:r>
      <w:r w:rsidR="00F26B75" w:rsidRPr="00F26B75">
        <w:rPr>
          <w:rFonts w:ascii="Calibri" w:hAnsi="Calibri" w:cs="Times New Roman"/>
          <w:sz w:val="22"/>
        </w:rPr>
        <w:t xml:space="preserve"> one Common Share</w:t>
      </w:r>
      <w:r w:rsidR="008F6D5C">
        <w:rPr>
          <w:rFonts w:ascii="Calibri" w:hAnsi="Calibri" w:cs="Times New Roman"/>
          <w:sz w:val="22"/>
        </w:rPr>
        <w:t xml:space="preserve"> at an exercise price of </w:t>
      </w:r>
      <w:r w:rsidR="00331C29">
        <w:rPr>
          <w:rFonts w:ascii="Calibri" w:hAnsi="Calibri" w:cs="Times New Roman"/>
          <w:sz w:val="22"/>
        </w:rPr>
        <w:t>C</w:t>
      </w:r>
      <w:r w:rsidR="008F6D5C">
        <w:rPr>
          <w:rFonts w:ascii="Calibri" w:hAnsi="Calibri" w:cs="Times New Roman"/>
          <w:sz w:val="22"/>
        </w:rPr>
        <w:t>$0.60 per Common Share</w:t>
      </w:r>
      <w:r w:rsidR="00F26B75" w:rsidRPr="00F26B75">
        <w:rPr>
          <w:rFonts w:ascii="Calibri" w:hAnsi="Calibri" w:cs="Times New Roman"/>
          <w:sz w:val="22"/>
        </w:rPr>
        <w:t xml:space="preserve"> </w:t>
      </w:r>
      <w:r w:rsidR="0026007B" w:rsidRPr="0026007B">
        <w:rPr>
          <w:rFonts w:ascii="Calibri" w:hAnsi="Calibri" w:cs="Times New Roman"/>
          <w:sz w:val="22"/>
        </w:rPr>
        <w:t xml:space="preserve">for a period that is 24 months from the earlier of </w:t>
      </w:r>
      <w:r w:rsidR="00C67D5B">
        <w:rPr>
          <w:rFonts w:ascii="Calibri" w:hAnsi="Calibri" w:cs="Times New Roman"/>
          <w:sz w:val="22"/>
        </w:rPr>
        <w:t>(i)</w:t>
      </w:r>
      <w:r w:rsidR="00F26B75" w:rsidRPr="00F26B75">
        <w:rPr>
          <w:rFonts w:ascii="Calibri" w:hAnsi="Calibri" w:cs="Times New Roman"/>
          <w:sz w:val="22"/>
        </w:rPr>
        <w:t xml:space="preserve"> the third business day after a receipt is issued for </w:t>
      </w:r>
      <w:r w:rsidR="00F26B75">
        <w:rPr>
          <w:rFonts w:ascii="Calibri" w:hAnsi="Calibri" w:cs="Times New Roman"/>
          <w:sz w:val="22"/>
        </w:rPr>
        <w:t>a Final Prospectus</w:t>
      </w:r>
      <w:r w:rsidR="00C67D5B">
        <w:rPr>
          <w:rFonts w:ascii="Calibri" w:hAnsi="Calibri" w:cs="Times New Roman"/>
          <w:sz w:val="22"/>
        </w:rPr>
        <w:t xml:space="preserve"> and (ii) four </w:t>
      </w:r>
      <w:r w:rsidR="00C67D5B" w:rsidRPr="00F26B75">
        <w:rPr>
          <w:rFonts w:ascii="Calibri" w:hAnsi="Calibri" w:cs="Times New Roman"/>
          <w:sz w:val="22"/>
        </w:rPr>
        <w:t xml:space="preserve">months and a day after the </w:t>
      </w:r>
      <w:r w:rsidR="00C67D5B">
        <w:rPr>
          <w:rFonts w:ascii="Calibri" w:hAnsi="Calibri" w:cs="Times New Roman"/>
          <w:sz w:val="22"/>
        </w:rPr>
        <w:t>closing d</w:t>
      </w:r>
      <w:r w:rsidR="00C67D5B" w:rsidRPr="00F26B75">
        <w:rPr>
          <w:rFonts w:ascii="Calibri" w:hAnsi="Calibri" w:cs="Times New Roman"/>
          <w:sz w:val="22"/>
        </w:rPr>
        <w:t>ate</w:t>
      </w:r>
      <w:r w:rsidR="00C67D5B">
        <w:rPr>
          <w:rFonts w:ascii="Calibri" w:hAnsi="Calibri" w:cs="Times New Roman"/>
          <w:sz w:val="22"/>
        </w:rPr>
        <w:t xml:space="preserve"> of the Offering</w:t>
      </w:r>
      <w:r w:rsidR="00F26B75">
        <w:rPr>
          <w:rFonts w:ascii="Calibri" w:hAnsi="Calibri" w:cs="Times New Roman"/>
          <w:sz w:val="22"/>
        </w:rPr>
        <w:t>.</w:t>
      </w:r>
    </w:p>
    <w:p w14:paraId="1294E4ED" w14:textId="77777777" w:rsidR="00F26B75" w:rsidRDefault="00F26B75" w:rsidP="008C074C">
      <w:pPr>
        <w:shd w:val="clear" w:color="auto" w:fill="FFFFFF"/>
        <w:jc w:val="both"/>
        <w:rPr>
          <w:rFonts w:ascii="Calibri" w:hAnsi="Calibri" w:cs="Times New Roman"/>
          <w:sz w:val="22"/>
        </w:rPr>
      </w:pPr>
    </w:p>
    <w:p w14:paraId="751F05CD" w14:textId="77777777" w:rsidR="008C074C" w:rsidRDefault="00C834EC" w:rsidP="008C074C">
      <w:pPr>
        <w:shd w:val="clear" w:color="auto" w:fill="FFFFFF"/>
        <w:jc w:val="both"/>
        <w:rPr>
          <w:rFonts w:ascii="Calibri" w:hAnsi="Calibri" w:cs="Times New Roman"/>
          <w:sz w:val="22"/>
        </w:rPr>
      </w:pPr>
      <w:r>
        <w:rPr>
          <w:rFonts w:ascii="Calibri" w:hAnsi="Calibri" w:cs="Times New Roman"/>
          <w:sz w:val="22"/>
        </w:rPr>
        <w:t xml:space="preserve">New Stratus shall </w:t>
      </w:r>
      <w:r w:rsidRPr="00C834EC">
        <w:rPr>
          <w:rFonts w:ascii="Calibri" w:hAnsi="Calibri" w:cs="Times New Roman"/>
          <w:sz w:val="22"/>
        </w:rPr>
        <w:t xml:space="preserve">use its commercial best efforts from the date of closing of the </w:t>
      </w:r>
      <w:r>
        <w:rPr>
          <w:rFonts w:ascii="Calibri" w:hAnsi="Calibri" w:cs="Times New Roman"/>
          <w:sz w:val="22"/>
        </w:rPr>
        <w:t xml:space="preserve">Offering to obtain the receipt for the Final Prospectus </w:t>
      </w:r>
      <w:r w:rsidRPr="00C834EC">
        <w:rPr>
          <w:rFonts w:ascii="Calibri" w:hAnsi="Calibri" w:cs="Times New Roman"/>
          <w:sz w:val="22"/>
        </w:rPr>
        <w:t xml:space="preserve">within 20 days of closing of the </w:t>
      </w:r>
      <w:r>
        <w:rPr>
          <w:rFonts w:ascii="Calibri" w:hAnsi="Calibri" w:cs="Times New Roman"/>
          <w:sz w:val="22"/>
        </w:rPr>
        <w:t xml:space="preserve">Transaction (the </w:t>
      </w:r>
      <w:r w:rsidR="00BD7FA6">
        <w:rPr>
          <w:rFonts w:ascii="Calibri" w:hAnsi="Calibri" w:cs="Times New Roman"/>
          <w:sz w:val="22"/>
        </w:rPr>
        <w:t>“</w:t>
      </w:r>
      <w:r w:rsidRPr="00C834EC">
        <w:rPr>
          <w:rFonts w:ascii="Calibri" w:hAnsi="Calibri" w:cs="Times New Roman"/>
          <w:b/>
          <w:sz w:val="22"/>
        </w:rPr>
        <w:t>Qualification Deadline</w:t>
      </w:r>
      <w:r w:rsidR="00BD7FA6">
        <w:rPr>
          <w:rFonts w:ascii="Calibri" w:hAnsi="Calibri" w:cs="Times New Roman"/>
          <w:sz w:val="22"/>
        </w:rPr>
        <w:t>”</w:t>
      </w:r>
      <w:r w:rsidRPr="00C834EC">
        <w:rPr>
          <w:rFonts w:ascii="Calibri" w:hAnsi="Calibri" w:cs="Times New Roman"/>
          <w:sz w:val="22"/>
        </w:rPr>
        <w:t>).</w:t>
      </w:r>
      <w:r>
        <w:rPr>
          <w:rFonts w:ascii="Calibri" w:hAnsi="Calibri" w:cs="Times New Roman"/>
          <w:sz w:val="22"/>
        </w:rPr>
        <w:t xml:space="preserve">   </w:t>
      </w:r>
      <w:r w:rsidR="008C074C" w:rsidRPr="008C074C">
        <w:rPr>
          <w:rFonts w:ascii="Calibri" w:hAnsi="Calibri" w:cs="Times New Roman"/>
          <w:sz w:val="22"/>
        </w:rPr>
        <w:t>If a receipt is not obtained on or before the Qualification D</w:t>
      </w:r>
      <w:r w:rsidR="008C074C">
        <w:rPr>
          <w:rFonts w:ascii="Calibri" w:hAnsi="Calibri" w:cs="Times New Roman"/>
          <w:sz w:val="22"/>
        </w:rPr>
        <w:t xml:space="preserve">eadline, </w:t>
      </w:r>
      <w:r>
        <w:rPr>
          <w:rFonts w:ascii="Calibri" w:hAnsi="Calibri" w:cs="Times New Roman"/>
          <w:sz w:val="22"/>
        </w:rPr>
        <w:t xml:space="preserve">New Stratus </w:t>
      </w:r>
      <w:r w:rsidR="008C074C">
        <w:rPr>
          <w:rFonts w:ascii="Calibri" w:hAnsi="Calibri" w:cs="Times New Roman"/>
          <w:sz w:val="22"/>
        </w:rPr>
        <w:t xml:space="preserve">shall issue to </w:t>
      </w:r>
      <w:r w:rsidR="008C074C" w:rsidRPr="008C074C">
        <w:rPr>
          <w:rFonts w:ascii="Calibri" w:hAnsi="Calibri" w:cs="Times New Roman"/>
          <w:sz w:val="22"/>
        </w:rPr>
        <w:t>each holder of Subscription Receipts, for no additional consideration and wi</w:t>
      </w:r>
      <w:r w:rsidR="008C074C">
        <w:rPr>
          <w:rFonts w:ascii="Calibri" w:hAnsi="Calibri" w:cs="Times New Roman"/>
          <w:sz w:val="22"/>
        </w:rPr>
        <w:t xml:space="preserve">thout any further action on the </w:t>
      </w:r>
      <w:r w:rsidR="008C074C" w:rsidRPr="008C074C">
        <w:rPr>
          <w:rFonts w:ascii="Calibri" w:hAnsi="Calibri" w:cs="Times New Roman"/>
          <w:sz w:val="22"/>
        </w:rPr>
        <w:t xml:space="preserve">part of the holder, an additional 0.1 of a </w:t>
      </w:r>
      <w:r>
        <w:rPr>
          <w:rFonts w:ascii="Calibri" w:hAnsi="Calibri" w:cs="Times New Roman"/>
          <w:sz w:val="22"/>
        </w:rPr>
        <w:t>Common Share</w:t>
      </w:r>
      <w:r w:rsidR="008C074C" w:rsidRPr="008C074C">
        <w:rPr>
          <w:rFonts w:ascii="Calibri" w:hAnsi="Calibri" w:cs="Times New Roman"/>
          <w:sz w:val="22"/>
        </w:rPr>
        <w:t xml:space="preserve"> for each </w:t>
      </w:r>
      <w:r>
        <w:rPr>
          <w:rFonts w:ascii="Calibri" w:hAnsi="Calibri" w:cs="Times New Roman"/>
          <w:sz w:val="22"/>
        </w:rPr>
        <w:t>Common</w:t>
      </w:r>
      <w:r w:rsidR="008C074C">
        <w:rPr>
          <w:rFonts w:ascii="Calibri" w:hAnsi="Calibri" w:cs="Times New Roman"/>
          <w:sz w:val="22"/>
        </w:rPr>
        <w:t xml:space="preserve"> Share to be issued to such </w:t>
      </w:r>
      <w:r w:rsidR="008C074C" w:rsidRPr="008C074C">
        <w:rPr>
          <w:rFonts w:ascii="Calibri" w:hAnsi="Calibri" w:cs="Times New Roman"/>
          <w:sz w:val="22"/>
        </w:rPr>
        <w:t xml:space="preserve">holder upon the </w:t>
      </w:r>
      <w:r w:rsidR="00C67D5B">
        <w:rPr>
          <w:rFonts w:ascii="Calibri" w:hAnsi="Calibri" w:cs="Times New Roman"/>
          <w:sz w:val="22"/>
        </w:rPr>
        <w:t>conversion</w:t>
      </w:r>
      <w:r w:rsidR="008C074C" w:rsidRPr="008C074C">
        <w:rPr>
          <w:rFonts w:ascii="Calibri" w:hAnsi="Calibri" w:cs="Times New Roman"/>
          <w:sz w:val="22"/>
        </w:rPr>
        <w:t xml:space="preserve"> of the Subscription Receipts. Until the re</w:t>
      </w:r>
      <w:r w:rsidR="008C074C">
        <w:rPr>
          <w:rFonts w:ascii="Calibri" w:hAnsi="Calibri" w:cs="Times New Roman"/>
          <w:sz w:val="22"/>
        </w:rPr>
        <w:t xml:space="preserve">ceipt is issued for such </w:t>
      </w:r>
      <w:r>
        <w:rPr>
          <w:rFonts w:ascii="Calibri" w:hAnsi="Calibri" w:cs="Times New Roman"/>
          <w:sz w:val="22"/>
        </w:rPr>
        <w:t>Final P</w:t>
      </w:r>
      <w:r w:rsidR="008C074C" w:rsidRPr="008C074C">
        <w:rPr>
          <w:rFonts w:ascii="Calibri" w:hAnsi="Calibri" w:cs="Times New Roman"/>
          <w:sz w:val="22"/>
        </w:rPr>
        <w:t xml:space="preserve">rospectus, the Subscription Receipts as well as the </w:t>
      </w:r>
      <w:r>
        <w:rPr>
          <w:rFonts w:ascii="Calibri" w:hAnsi="Calibri" w:cs="Times New Roman"/>
          <w:sz w:val="22"/>
        </w:rPr>
        <w:t>Common</w:t>
      </w:r>
      <w:r w:rsidR="008C074C" w:rsidRPr="008C074C">
        <w:rPr>
          <w:rFonts w:ascii="Calibri" w:hAnsi="Calibri" w:cs="Times New Roman"/>
          <w:sz w:val="22"/>
        </w:rPr>
        <w:t xml:space="preserve"> Shares </w:t>
      </w:r>
      <w:r>
        <w:rPr>
          <w:rFonts w:ascii="Calibri" w:hAnsi="Calibri" w:cs="Times New Roman"/>
          <w:sz w:val="22"/>
        </w:rPr>
        <w:t xml:space="preserve">and Warrants </w:t>
      </w:r>
      <w:r w:rsidR="008C074C" w:rsidRPr="008C074C">
        <w:rPr>
          <w:rFonts w:ascii="Calibri" w:hAnsi="Calibri" w:cs="Times New Roman"/>
          <w:sz w:val="22"/>
        </w:rPr>
        <w:t>issu</w:t>
      </w:r>
      <w:r w:rsidR="00F43778">
        <w:rPr>
          <w:rFonts w:ascii="Calibri" w:hAnsi="Calibri" w:cs="Times New Roman"/>
          <w:sz w:val="22"/>
        </w:rPr>
        <w:t>able upon exercise</w:t>
      </w:r>
      <w:r w:rsidR="00331C29">
        <w:rPr>
          <w:rFonts w:ascii="Calibri" w:hAnsi="Calibri" w:cs="Times New Roman"/>
          <w:sz w:val="22"/>
        </w:rPr>
        <w:t xml:space="preserve"> </w:t>
      </w:r>
      <w:r w:rsidR="008C074C">
        <w:rPr>
          <w:rFonts w:ascii="Calibri" w:hAnsi="Calibri" w:cs="Times New Roman"/>
          <w:sz w:val="22"/>
        </w:rPr>
        <w:t xml:space="preserve">thereof will </w:t>
      </w:r>
      <w:r w:rsidR="008C074C" w:rsidRPr="008C074C">
        <w:rPr>
          <w:rFonts w:ascii="Calibri" w:hAnsi="Calibri" w:cs="Times New Roman"/>
          <w:sz w:val="22"/>
        </w:rPr>
        <w:t>be subject to a four month hold period under applicable Canadian securities laws</w:t>
      </w:r>
      <w:r w:rsidR="008C074C">
        <w:rPr>
          <w:rFonts w:ascii="Calibri" w:hAnsi="Calibri" w:cs="Times New Roman"/>
          <w:sz w:val="22"/>
        </w:rPr>
        <w:t>.</w:t>
      </w:r>
    </w:p>
    <w:p w14:paraId="0D3F50CA" w14:textId="77777777" w:rsidR="00166B84" w:rsidRDefault="00166B84" w:rsidP="008C074C">
      <w:pPr>
        <w:shd w:val="clear" w:color="auto" w:fill="FFFFFF"/>
        <w:jc w:val="both"/>
        <w:rPr>
          <w:rFonts w:ascii="Calibri" w:hAnsi="Calibri" w:cs="Times New Roman"/>
          <w:sz w:val="22"/>
        </w:rPr>
      </w:pPr>
    </w:p>
    <w:p w14:paraId="2EC59037" w14:textId="77777777" w:rsidR="00D54431" w:rsidRDefault="00D54431" w:rsidP="000F45C6">
      <w:pPr>
        <w:shd w:val="clear" w:color="auto" w:fill="FFFFFF"/>
        <w:jc w:val="both"/>
        <w:rPr>
          <w:rFonts w:ascii="Calibri" w:hAnsi="Calibri" w:cs="Times New Roman"/>
          <w:b/>
          <w:sz w:val="22"/>
        </w:rPr>
      </w:pPr>
    </w:p>
    <w:p w14:paraId="291484E8" w14:textId="77777777" w:rsidR="007A1D35" w:rsidRDefault="007A1D35" w:rsidP="000F45C6">
      <w:pPr>
        <w:shd w:val="clear" w:color="auto" w:fill="FFFFFF"/>
        <w:jc w:val="both"/>
        <w:rPr>
          <w:rFonts w:ascii="Calibri" w:hAnsi="Calibri" w:cs="Times New Roman"/>
          <w:b/>
          <w:sz w:val="22"/>
        </w:rPr>
      </w:pPr>
    </w:p>
    <w:p w14:paraId="133B7A85" w14:textId="77777777" w:rsidR="007A1D35" w:rsidRDefault="007A1D35" w:rsidP="000F45C6">
      <w:pPr>
        <w:shd w:val="clear" w:color="auto" w:fill="FFFFFF"/>
        <w:jc w:val="both"/>
        <w:rPr>
          <w:rFonts w:ascii="Calibri" w:hAnsi="Calibri" w:cs="Times New Roman"/>
          <w:b/>
          <w:sz w:val="22"/>
        </w:rPr>
      </w:pPr>
    </w:p>
    <w:p w14:paraId="6BD809AB" w14:textId="77777777" w:rsidR="007A1D35" w:rsidRDefault="007A1D35" w:rsidP="000F45C6">
      <w:pPr>
        <w:shd w:val="clear" w:color="auto" w:fill="FFFFFF"/>
        <w:jc w:val="both"/>
        <w:rPr>
          <w:rFonts w:ascii="Calibri" w:hAnsi="Calibri" w:cs="Times New Roman"/>
          <w:b/>
          <w:sz w:val="22"/>
        </w:rPr>
      </w:pPr>
    </w:p>
    <w:p w14:paraId="510B0DBA" w14:textId="56023C06" w:rsidR="000F45C6" w:rsidRPr="006A59D3" w:rsidRDefault="000F45C6" w:rsidP="000F45C6">
      <w:pPr>
        <w:shd w:val="clear" w:color="auto" w:fill="FFFFFF"/>
        <w:jc w:val="both"/>
        <w:rPr>
          <w:rFonts w:ascii="Calibri" w:hAnsi="Calibri" w:cs="Times New Roman"/>
          <w:b/>
          <w:sz w:val="22"/>
        </w:rPr>
      </w:pPr>
      <w:r>
        <w:rPr>
          <w:rFonts w:ascii="Calibri" w:hAnsi="Calibri" w:cs="Times New Roman"/>
          <w:b/>
          <w:sz w:val="22"/>
        </w:rPr>
        <w:lastRenderedPageBreak/>
        <w:t>Management Change and New Board Members</w:t>
      </w:r>
    </w:p>
    <w:p w14:paraId="301A8930" w14:textId="77777777" w:rsidR="000F45C6" w:rsidRPr="006A59D3" w:rsidRDefault="000F45C6" w:rsidP="000F45C6">
      <w:pPr>
        <w:shd w:val="clear" w:color="auto" w:fill="FFFFFF"/>
        <w:jc w:val="both"/>
        <w:rPr>
          <w:rFonts w:ascii="Calibri" w:hAnsi="Calibri" w:cs="Times New Roman"/>
          <w:b/>
          <w:sz w:val="22"/>
        </w:rPr>
      </w:pPr>
    </w:p>
    <w:p w14:paraId="050DD081" w14:textId="77777777" w:rsidR="000F45C6" w:rsidRDefault="000F45C6" w:rsidP="000F45C6">
      <w:pPr>
        <w:shd w:val="clear" w:color="auto" w:fill="FFFFFF"/>
        <w:jc w:val="both"/>
        <w:rPr>
          <w:rFonts w:ascii="Calibri" w:hAnsi="Calibri" w:cs="Times New Roman"/>
          <w:b/>
          <w:sz w:val="22"/>
        </w:rPr>
      </w:pPr>
      <w:r>
        <w:rPr>
          <w:rFonts w:ascii="Calibri" w:hAnsi="Calibri" w:cs="Times New Roman"/>
          <w:sz w:val="22"/>
        </w:rPr>
        <w:t xml:space="preserve">The Corporation also announces that it expects for </w:t>
      </w:r>
      <w:r w:rsidRPr="001B2641">
        <w:rPr>
          <w:rFonts w:ascii="Calibri" w:hAnsi="Calibri" w:cs="Times New Roman"/>
          <w:sz w:val="22"/>
        </w:rPr>
        <w:t>Marino Ostos</w:t>
      </w:r>
      <w:r>
        <w:rPr>
          <w:rFonts w:ascii="Calibri" w:hAnsi="Calibri" w:cs="Times New Roman"/>
          <w:sz w:val="22"/>
        </w:rPr>
        <w:t xml:space="preserve"> to assume the role of Chief Executive Officer and </w:t>
      </w:r>
      <w:r w:rsidRPr="001B2641">
        <w:rPr>
          <w:rFonts w:ascii="Calibri" w:hAnsi="Calibri" w:cs="Times New Roman"/>
          <w:sz w:val="22"/>
        </w:rPr>
        <w:t>Jose Francisco Arata</w:t>
      </w:r>
      <w:r>
        <w:rPr>
          <w:rFonts w:ascii="Calibri" w:hAnsi="Calibri" w:cs="Times New Roman"/>
          <w:sz w:val="22"/>
        </w:rPr>
        <w:t xml:space="preserve"> to be appointed Executive Chairman of the Corporation in the near future.  Mr. Ostos and Mr. Arata are currently and will remain directors of the Corporation.   In addition, it is expected that </w:t>
      </w:r>
      <w:r w:rsidR="004E0CED" w:rsidRPr="00621DC7">
        <w:rPr>
          <w:rFonts w:ascii="Calibri" w:hAnsi="Calibri" w:cs="Times New Roman"/>
          <w:sz w:val="22"/>
        </w:rPr>
        <w:t>John Ferguson</w:t>
      </w:r>
      <w:r w:rsidRPr="00621DC7">
        <w:rPr>
          <w:rFonts w:ascii="Calibri" w:hAnsi="Calibri" w:cs="Times New Roman"/>
          <w:sz w:val="22"/>
        </w:rPr>
        <w:t xml:space="preserve">, </w:t>
      </w:r>
      <w:r w:rsidR="004E0CED" w:rsidRPr="00621DC7">
        <w:rPr>
          <w:rFonts w:ascii="Calibri" w:hAnsi="Calibri" w:cs="Times New Roman"/>
          <w:sz w:val="22"/>
        </w:rPr>
        <w:t xml:space="preserve">Christopher </w:t>
      </w:r>
      <w:proofErr w:type="spellStart"/>
      <w:r w:rsidR="004E0CED" w:rsidRPr="00621DC7">
        <w:rPr>
          <w:rFonts w:ascii="Calibri" w:hAnsi="Calibri" w:cs="Times New Roman"/>
          <w:sz w:val="22"/>
        </w:rPr>
        <w:t>LeGallais</w:t>
      </w:r>
      <w:proofErr w:type="spellEnd"/>
      <w:r w:rsidRPr="00621DC7">
        <w:rPr>
          <w:rFonts w:ascii="Calibri" w:hAnsi="Calibri" w:cs="Times New Roman"/>
          <w:sz w:val="22"/>
        </w:rPr>
        <w:t xml:space="preserve"> and </w:t>
      </w:r>
      <w:r w:rsidR="004E0CED" w:rsidRPr="00621DC7">
        <w:rPr>
          <w:rFonts w:ascii="Calibri" w:hAnsi="Calibri" w:cs="Times New Roman"/>
          <w:sz w:val="22"/>
        </w:rPr>
        <w:t>Peter Volk</w:t>
      </w:r>
      <w:r w:rsidRPr="00621DC7">
        <w:rPr>
          <w:rFonts w:ascii="Calibri" w:hAnsi="Calibri" w:cs="Times New Roman"/>
          <w:sz w:val="22"/>
        </w:rPr>
        <w:t xml:space="preserve"> </w:t>
      </w:r>
      <w:r>
        <w:rPr>
          <w:rFonts w:ascii="Calibri" w:hAnsi="Calibri" w:cs="Times New Roman"/>
          <w:sz w:val="22"/>
        </w:rPr>
        <w:t>will join the Board of Directors.  The Corporation will issue a news release once the changes to management and the Board of Directors become effective.</w:t>
      </w:r>
    </w:p>
    <w:p w14:paraId="7E04A513" w14:textId="77777777" w:rsidR="000F45C6" w:rsidRDefault="000F45C6" w:rsidP="00166B84">
      <w:pPr>
        <w:shd w:val="clear" w:color="auto" w:fill="FFFFFF"/>
        <w:jc w:val="both"/>
        <w:rPr>
          <w:rFonts w:ascii="Calibri" w:hAnsi="Calibri" w:cs="Times New Roman"/>
          <w:b/>
          <w:sz w:val="22"/>
        </w:rPr>
      </w:pPr>
    </w:p>
    <w:p w14:paraId="133DBD4C" w14:textId="77777777" w:rsidR="00166B84" w:rsidRPr="006A59D3" w:rsidRDefault="00166B84" w:rsidP="00166B84">
      <w:pPr>
        <w:shd w:val="clear" w:color="auto" w:fill="FFFFFF"/>
        <w:jc w:val="both"/>
        <w:rPr>
          <w:rFonts w:ascii="Calibri" w:hAnsi="Calibri" w:cs="Times New Roman"/>
          <w:b/>
          <w:sz w:val="22"/>
        </w:rPr>
      </w:pPr>
      <w:r>
        <w:rPr>
          <w:rFonts w:ascii="Calibri" w:hAnsi="Calibri" w:cs="Times New Roman"/>
          <w:b/>
          <w:sz w:val="22"/>
        </w:rPr>
        <w:t>Advisors and Counsel</w:t>
      </w:r>
    </w:p>
    <w:p w14:paraId="4293B598" w14:textId="77777777" w:rsidR="00166B84" w:rsidRPr="006A59D3" w:rsidRDefault="00166B84" w:rsidP="00166B84">
      <w:pPr>
        <w:shd w:val="clear" w:color="auto" w:fill="FFFFFF"/>
        <w:jc w:val="both"/>
        <w:rPr>
          <w:rFonts w:ascii="Calibri" w:hAnsi="Calibri" w:cs="Times New Roman"/>
          <w:b/>
          <w:sz w:val="22"/>
        </w:rPr>
      </w:pPr>
    </w:p>
    <w:p w14:paraId="37AA6FC5" w14:textId="77777777" w:rsidR="00166B84" w:rsidRDefault="00166B84" w:rsidP="00166B84">
      <w:pPr>
        <w:shd w:val="clear" w:color="auto" w:fill="FFFFFF"/>
        <w:jc w:val="both"/>
        <w:rPr>
          <w:rFonts w:ascii="Calibri" w:hAnsi="Calibri" w:cs="Times New Roman"/>
          <w:sz w:val="22"/>
        </w:rPr>
      </w:pPr>
      <w:r w:rsidRPr="006A59D3">
        <w:rPr>
          <w:rFonts w:ascii="Calibri" w:hAnsi="Calibri" w:cs="Times New Roman"/>
          <w:sz w:val="22"/>
        </w:rPr>
        <w:t>Laurentian Ba</w:t>
      </w:r>
      <w:r>
        <w:rPr>
          <w:rFonts w:ascii="Calibri" w:hAnsi="Calibri" w:cs="Times New Roman"/>
          <w:sz w:val="22"/>
        </w:rPr>
        <w:t xml:space="preserve">nk Securities Inc. </w:t>
      </w:r>
      <w:r w:rsidRPr="006A59D3">
        <w:rPr>
          <w:rFonts w:ascii="Calibri" w:hAnsi="Calibri" w:cs="Times New Roman"/>
          <w:sz w:val="22"/>
        </w:rPr>
        <w:t>is acting as exclusive financial advisor</w:t>
      </w:r>
      <w:r>
        <w:rPr>
          <w:rFonts w:ascii="Calibri" w:hAnsi="Calibri" w:cs="Times New Roman"/>
          <w:sz w:val="22"/>
        </w:rPr>
        <w:t xml:space="preserve"> to New Stratus in connection with the Transaction.  New Stratus' legal advisors are DLA Piper (Canada) LLP in Canada and Dentons in Colombia</w:t>
      </w:r>
      <w:r w:rsidR="00A26824">
        <w:rPr>
          <w:rFonts w:ascii="Calibri" w:hAnsi="Calibri" w:cs="Times New Roman"/>
          <w:sz w:val="22"/>
        </w:rPr>
        <w:t xml:space="preserve"> and Spain</w:t>
      </w:r>
      <w:r>
        <w:rPr>
          <w:rFonts w:ascii="Calibri" w:hAnsi="Calibri" w:cs="Times New Roman"/>
          <w:sz w:val="22"/>
        </w:rPr>
        <w:t xml:space="preserve">.  </w:t>
      </w:r>
      <w:r w:rsidRPr="00166B84">
        <w:rPr>
          <w:rFonts w:ascii="Calibri" w:hAnsi="Calibri" w:cs="Times New Roman"/>
          <w:sz w:val="22"/>
        </w:rPr>
        <w:t xml:space="preserve">McCarthy </w:t>
      </w:r>
      <w:proofErr w:type="spellStart"/>
      <w:r w:rsidRPr="00166B84">
        <w:rPr>
          <w:rFonts w:ascii="Calibri" w:hAnsi="Calibri" w:cs="Times New Roman"/>
          <w:sz w:val="22"/>
        </w:rPr>
        <w:t>Tétrault</w:t>
      </w:r>
      <w:proofErr w:type="spellEnd"/>
      <w:r w:rsidRPr="00166B84">
        <w:rPr>
          <w:rFonts w:ascii="Calibri" w:hAnsi="Calibri" w:cs="Times New Roman"/>
          <w:sz w:val="22"/>
        </w:rPr>
        <w:t xml:space="preserve"> LLP </w:t>
      </w:r>
      <w:r w:rsidRPr="006A59D3">
        <w:rPr>
          <w:rFonts w:ascii="Calibri" w:hAnsi="Calibri" w:cs="Times New Roman"/>
          <w:sz w:val="22"/>
        </w:rPr>
        <w:t xml:space="preserve">is acting as legal advisor to </w:t>
      </w:r>
      <w:r>
        <w:rPr>
          <w:rFonts w:ascii="Calibri" w:hAnsi="Calibri" w:cs="Times New Roman"/>
          <w:sz w:val="22"/>
        </w:rPr>
        <w:t xml:space="preserve">the </w:t>
      </w:r>
      <w:r w:rsidR="0099701B">
        <w:rPr>
          <w:rFonts w:ascii="Calibri" w:hAnsi="Calibri" w:cs="Times New Roman"/>
          <w:sz w:val="22"/>
        </w:rPr>
        <w:t>A</w:t>
      </w:r>
      <w:r>
        <w:rPr>
          <w:rFonts w:ascii="Calibri" w:hAnsi="Calibri" w:cs="Times New Roman"/>
          <w:sz w:val="22"/>
        </w:rPr>
        <w:t>gents in connection with the Offering</w:t>
      </w:r>
      <w:r w:rsidRPr="006A59D3">
        <w:rPr>
          <w:rFonts w:ascii="Calibri" w:hAnsi="Calibri" w:cs="Times New Roman"/>
          <w:sz w:val="22"/>
        </w:rPr>
        <w:t>.</w:t>
      </w:r>
    </w:p>
    <w:p w14:paraId="208EB375" w14:textId="77777777" w:rsidR="008C074C" w:rsidRPr="007C370C" w:rsidRDefault="008C074C" w:rsidP="00967F98">
      <w:pPr>
        <w:shd w:val="clear" w:color="auto" w:fill="FFFFFF"/>
        <w:jc w:val="both"/>
        <w:rPr>
          <w:rFonts w:ascii="Calibri" w:hAnsi="Calibri" w:cs="Times New Roman"/>
          <w:b/>
          <w:sz w:val="22"/>
        </w:rPr>
      </w:pPr>
    </w:p>
    <w:p w14:paraId="1D874FA5" w14:textId="77777777" w:rsidR="001F30DB" w:rsidRPr="007C370C" w:rsidRDefault="001F30DB" w:rsidP="00967F98">
      <w:pPr>
        <w:shd w:val="clear" w:color="auto" w:fill="FFFFFF"/>
        <w:jc w:val="both"/>
        <w:rPr>
          <w:rFonts w:ascii="Calibri" w:hAnsi="Calibri" w:cs="Times New Roman"/>
          <w:b/>
          <w:sz w:val="22"/>
        </w:rPr>
      </w:pPr>
      <w:r w:rsidRPr="007C370C">
        <w:rPr>
          <w:rFonts w:ascii="Calibri" w:hAnsi="Calibri" w:cs="Times New Roman"/>
          <w:b/>
          <w:sz w:val="22"/>
        </w:rPr>
        <w:t>Trading Halt</w:t>
      </w:r>
    </w:p>
    <w:p w14:paraId="6B0732FF" w14:textId="77777777" w:rsidR="001F30DB" w:rsidRPr="007C370C" w:rsidRDefault="001F30DB" w:rsidP="00967F98">
      <w:pPr>
        <w:shd w:val="clear" w:color="auto" w:fill="FFFFFF"/>
        <w:jc w:val="both"/>
        <w:rPr>
          <w:rFonts w:ascii="Calibri" w:hAnsi="Calibri" w:cs="Times New Roman"/>
          <w:sz w:val="22"/>
        </w:rPr>
      </w:pPr>
    </w:p>
    <w:p w14:paraId="0E3C5A79" w14:textId="77777777" w:rsidR="007A0B52" w:rsidRPr="007C370C" w:rsidRDefault="007A0B52" w:rsidP="00967F98">
      <w:pPr>
        <w:shd w:val="clear" w:color="auto" w:fill="FFFFFF"/>
        <w:jc w:val="both"/>
        <w:rPr>
          <w:rFonts w:ascii="Calibri" w:hAnsi="Calibri" w:cs="Times New Roman"/>
          <w:sz w:val="22"/>
        </w:rPr>
      </w:pPr>
      <w:r w:rsidRPr="007C370C">
        <w:rPr>
          <w:rFonts w:ascii="Calibri" w:hAnsi="Calibri" w:cs="Times New Roman"/>
          <w:sz w:val="22"/>
        </w:rPr>
        <w:t>Trading in New Stratus</w:t>
      </w:r>
      <w:r w:rsidR="00BD7FA6">
        <w:rPr>
          <w:rFonts w:ascii="Calibri" w:hAnsi="Calibri" w:cs="Times New Roman"/>
          <w:sz w:val="22"/>
        </w:rPr>
        <w:t>’</w:t>
      </w:r>
      <w:r w:rsidRPr="007C370C">
        <w:rPr>
          <w:rFonts w:ascii="Calibri" w:hAnsi="Calibri" w:cs="Times New Roman"/>
          <w:sz w:val="22"/>
        </w:rPr>
        <w:t xml:space="preserve"> common shares on the TSX</w:t>
      </w:r>
      <w:r w:rsidR="00331C29">
        <w:rPr>
          <w:rFonts w:ascii="Calibri" w:hAnsi="Calibri" w:cs="Times New Roman"/>
          <w:sz w:val="22"/>
        </w:rPr>
        <w:t xml:space="preserve"> </w:t>
      </w:r>
      <w:r w:rsidRPr="007C370C">
        <w:rPr>
          <w:rFonts w:ascii="Calibri" w:hAnsi="Calibri" w:cs="Times New Roman"/>
          <w:sz w:val="22"/>
        </w:rPr>
        <w:t>V</w:t>
      </w:r>
      <w:r w:rsidR="00331C29">
        <w:rPr>
          <w:rFonts w:ascii="Calibri" w:hAnsi="Calibri" w:cs="Times New Roman"/>
          <w:sz w:val="22"/>
        </w:rPr>
        <w:t>enture Exchange</w:t>
      </w:r>
      <w:r w:rsidRPr="007C370C">
        <w:rPr>
          <w:rFonts w:ascii="Calibri" w:hAnsi="Calibri" w:cs="Times New Roman"/>
          <w:sz w:val="22"/>
        </w:rPr>
        <w:t xml:space="preserve"> is halted and will remain so until the documentation required by the </w:t>
      </w:r>
      <w:r w:rsidR="00331C29" w:rsidRPr="007C370C">
        <w:rPr>
          <w:rFonts w:ascii="Calibri" w:hAnsi="Calibri" w:cs="Times New Roman"/>
          <w:sz w:val="22"/>
        </w:rPr>
        <w:t>TSX</w:t>
      </w:r>
      <w:r w:rsidR="00331C29">
        <w:rPr>
          <w:rFonts w:ascii="Calibri" w:hAnsi="Calibri" w:cs="Times New Roman"/>
          <w:sz w:val="22"/>
        </w:rPr>
        <w:t xml:space="preserve"> </w:t>
      </w:r>
      <w:r w:rsidR="00331C29" w:rsidRPr="007C370C">
        <w:rPr>
          <w:rFonts w:ascii="Calibri" w:hAnsi="Calibri" w:cs="Times New Roman"/>
          <w:sz w:val="22"/>
        </w:rPr>
        <w:t>V</w:t>
      </w:r>
      <w:r w:rsidR="00331C29">
        <w:rPr>
          <w:rFonts w:ascii="Calibri" w:hAnsi="Calibri" w:cs="Times New Roman"/>
          <w:sz w:val="22"/>
        </w:rPr>
        <w:t>enture Exchange</w:t>
      </w:r>
      <w:r w:rsidR="00331C29" w:rsidRPr="007C370C">
        <w:rPr>
          <w:rFonts w:ascii="Calibri" w:hAnsi="Calibri" w:cs="Times New Roman"/>
          <w:sz w:val="22"/>
        </w:rPr>
        <w:t xml:space="preserve"> </w:t>
      </w:r>
      <w:r w:rsidRPr="007C370C">
        <w:rPr>
          <w:rFonts w:ascii="Calibri" w:hAnsi="Calibri" w:cs="Times New Roman"/>
          <w:sz w:val="22"/>
        </w:rPr>
        <w:t xml:space="preserve">in relation to the </w:t>
      </w:r>
      <w:r w:rsidR="008F6D5C">
        <w:rPr>
          <w:rFonts w:ascii="Calibri" w:hAnsi="Calibri" w:cs="Times New Roman"/>
          <w:sz w:val="22"/>
        </w:rPr>
        <w:t>Transaction</w:t>
      </w:r>
      <w:r w:rsidRPr="007C370C">
        <w:rPr>
          <w:rFonts w:ascii="Calibri" w:hAnsi="Calibri" w:cs="Times New Roman"/>
          <w:sz w:val="22"/>
        </w:rPr>
        <w:t xml:space="preserve"> has been reviewed and accepted by the </w:t>
      </w:r>
      <w:r w:rsidR="00331C29" w:rsidRPr="007C370C">
        <w:rPr>
          <w:rFonts w:ascii="Calibri" w:hAnsi="Calibri" w:cs="Times New Roman"/>
          <w:sz w:val="22"/>
        </w:rPr>
        <w:t>TSX</w:t>
      </w:r>
      <w:r w:rsidR="00331C29">
        <w:rPr>
          <w:rFonts w:ascii="Calibri" w:hAnsi="Calibri" w:cs="Times New Roman"/>
          <w:sz w:val="22"/>
        </w:rPr>
        <w:t xml:space="preserve"> </w:t>
      </w:r>
      <w:r w:rsidR="00331C29" w:rsidRPr="007C370C">
        <w:rPr>
          <w:rFonts w:ascii="Calibri" w:hAnsi="Calibri" w:cs="Times New Roman"/>
          <w:sz w:val="22"/>
        </w:rPr>
        <w:t>V</w:t>
      </w:r>
      <w:r w:rsidR="00331C29">
        <w:rPr>
          <w:rFonts w:ascii="Calibri" w:hAnsi="Calibri" w:cs="Times New Roman"/>
          <w:sz w:val="22"/>
        </w:rPr>
        <w:t>enture Exchange</w:t>
      </w:r>
      <w:r w:rsidRPr="007C370C">
        <w:rPr>
          <w:rFonts w:ascii="Calibri" w:hAnsi="Calibri" w:cs="Times New Roman"/>
          <w:sz w:val="22"/>
        </w:rPr>
        <w:t>.</w:t>
      </w:r>
      <w:r w:rsidR="000B256A" w:rsidRPr="007C370C">
        <w:rPr>
          <w:rFonts w:ascii="Calibri" w:hAnsi="Calibri" w:cs="Times New Roman"/>
          <w:sz w:val="22"/>
        </w:rPr>
        <w:t xml:space="preserve"> </w:t>
      </w:r>
    </w:p>
    <w:p w14:paraId="3C6794EC" w14:textId="77777777" w:rsidR="0020135C" w:rsidRPr="007C370C" w:rsidRDefault="0020135C" w:rsidP="00967F98">
      <w:pPr>
        <w:shd w:val="clear" w:color="auto" w:fill="FFFFFF"/>
        <w:jc w:val="both"/>
        <w:rPr>
          <w:rFonts w:ascii="Calibri" w:hAnsi="Calibri" w:cs="Times New Roman"/>
          <w:sz w:val="22"/>
        </w:rPr>
      </w:pPr>
    </w:p>
    <w:p w14:paraId="6CC8E7B7" w14:textId="77777777" w:rsidR="0020135C" w:rsidRPr="007C370C" w:rsidRDefault="00D616AB" w:rsidP="00967F98">
      <w:pPr>
        <w:jc w:val="both"/>
        <w:rPr>
          <w:rStyle w:val="Strong"/>
          <w:rFonts w:ascii="Calibri" w:hAnsi="Calibri"/>
          <w:sz w:val="22"/>
        </w:rPr>
      </w:pPr>
      <w:r w:rsidRPr="007C370C">
        <w:rPr>
          <w:rStyle w:val="Strong"/>
          <w:rFonts w:ascii="Calibri" w:hAnsi="Calibri"/>
          <w:sz w:val="22"/>
        </w:rPr>
        <w:t>Contact Information:</w:t>
      </w:r>
    </w:p>
    <w:p w14:paraId="726E4A58" w14:textId="77777777" w:rsidR="00D616AB" w:rsidRPr="007C370C" w:rsidRDefault="00D616AB" w:rsidP="00967F98">
      <w:pPr>
        <w:shd w:val="clear" w:color="auto" w:fill="FFFFFF"/>
        <w:jc w:val="both"/>
        <w:rPr>
          <w:rFonts w:ascii="Calibri" w:hAnsi="Calibri"/>
          <w:sz w:val="22"/>
        </w:rPr>
      </w:pPr>
    </w:p>
    <w:p w14:paraId="0C26FD58" w14:textId="77777777" w:rsidR="00D616AB" w:rsidRPr="007C370C" w:rsidRDefault="000F45C6" w:rsidP="00967F98">
      <w:pPr>
        <w:shd w:val="clear" w:color="auto" w:fill="FFFFFF"/>
        <w:jc w:val="both"/>
        <w:rPr>
          <w:rFonts w:ascii="Calibri" w:hAnsi="Calibri"/>
          <w:sz w:val="22"/>
        </w:rPr>
      </w:pPr>
      <w:r>
        <w:rPr>
          <w:rFonts w:ascii="Calibri" w:hAnsi="Calibri"/>
          <w:sz w:val="22"/>
        </w:rPr>
        <w:t>Jose Francisco Arata</w:t>
      </w:r>
      <w:r w:rsidR="00D616AB" w:rsidRPr="007C370C">
        <w:rPr>
          <w:rFonts w:ascii="Calibri" w:hAnsi="Calibri"/>
          <w:sz w:val="22"/>
        </w:rPr>
        <w:tab/>
      </w:r>
      <w:r w:rsidR="00D616AB" w:rsidRPr="007C370C">
        <w:rPr>
          <w:rFonts w:ascii="Calibri" w:hAnsi="Calibri"/>
          <w:sz w:val="22"/>
        </w:rPr>
        <w:tab/>
      </w:r>
      <w:r w:rsidR="00D616AB" w:rsidRPr="007C370C">
        <w:rPr>
          <w:rFonts w:ascii="Calibri" w:hAnsi="Calibri"/>
          <w:sz w:val="22"/>
        </w:rPr>
        <w:tab/>
      </w:r>
      <w:r w:rsidR="00D616AB" w:rsidRPr="007C370C">
        <w:rPr>
          <w:rFonts w:ascii="Calibri" w:hAnsi="Calibri"/>
          <w:sz w:val="22"/>
        </w:rPr>
        <w:tab/>
      </w:r>
      <w:r w:rsidR="00D616AB" w:rsidRPr="007C370C">
        <w:rPr>
          <w:rFonts w:ascii="Calibri" w:hAnsi="Calibri"/>
          <w:sz w:val="22"/>
        </w:rPr>
        <w:tab/>
      </w:r>
    </w:p>
    <w:p w14:paraId="4ED1D7AF" w14:textId="77777777" w:rsidR="00D616AB" w:rsidRPr="007C370C" w:rsidRDefault="000F45C6" w:rsidP="00967F98">
      <w:pPr>
        <w:shd w:val="clear" w:color="auto" w:fill="FFFFFF"/>
        <w:jc w:val="both"/>
        <w:rPr>
          <w:rFonts w:ascii="Calibri" w:hAnsi="Calibri"/>
          <w:sz w:val="22"/>
        </w:rPr>
      </w:pPr>
      <w:r>
        <w:rPr>
          <w:rFonts w:ascii="Calibri" w:hAnsi="Calibri"/>
          <w:sz w:val="22"/>
        </w:rPr>
        <w:t>Executive Director</w:t>
      </w:r>
      <w:r w:rsidR="00D616AB" w:rsidRPr="007C370C">
        <w:rPr>
          <w:rFonts w:ascii="Calibri" w:hAnsi="Calibri"/>
          <w:sz w:val="22"/>
        </w:rPr>
        <w:tab/>
      </w:r>
      <w:r w:rsidR="00D616AB" w:rsidRPr="007C370C">
        <w:rPr>
          <w:rFonts w:ascii="Calibri" w:hAnsi="Calibri"/>
          <w:sz w:val="22"/>
        </w:rPr>
        <w:tab/>
      </w:r>
      <w:r w:rsidR="00D616AB" w:rsidRPr="007C370C">
        <w:rPr>
          <w:rFonts w:ascii="Calibri" w:hAnsi="Calibri"/>
          <w:sz w:val="22"/>
        </w:rPr>
        <w:tab/>
      </w:r>
    </w:p>
    <w:p w14:paraId="634C2FAF" w14:textId="51424CC9" w:rsidR="00D616AB" w:rsidRPr="00F74754" w:rsidRDefault="00D616AB" w:rsidP="00967F98">
      <w:pPr>
        <w:shd w:val="clear" w:color="auto" w:fill="FFFFFF"/>
        <w:jc w:val="both"/>
        <w:rPr>
          <w:rFonts w:ascii="Calibri" w:hAnsi="Calibri"/>
          <w:sz w:val="22"/>
        </w:rPr>
      </w:pPr>
      <w:r w:rsidRPr="00F74754">
        <w:rPr>
          <w:rFonts w:ascii="Calibri" w:hAnsi="Calibri"/>
          <w:sz w:val="22"/>
        </w:rPr>
        <w:t xml:space="preserve">+1 403 538 </w:t>
      </w:r>
      <w:r w:rsidR="006A2CB3">
        <w:rPr>
          <w:rFonts w:ascii="Calibri" w:hAnsi="Calibri"/>
          <w:sz w:val="22"/>
        </w:rPr>
        <w:t>4761</w:t>
      </w:r>
    </w:p>
    <w:p w14:paraId="7CCE47FA" w14:textId="77777777" w:rsidR="0020135C" w:rsidRPr="00F74754" w:rsidRDefault="000F45C6" w:rsidP="00967F98">
      <w:pPr>
        <w:shd w:val="clear" w:color="auto" w:fill="FFFFFF"/>
        <w:jc w:val="both"/>
        <w:rPr>
          <w:rFonts w:ascii="Calibri" w:eastAsia="Times New Roman" w:hAnsi="Calibri"/>
          <w:color w:val="222222"/>
          <w:sz w:val="22"/>
          <w:lang w:eastAsia="en-CA"/>
        </w:rPr>
      </w:pPr>
      <w:proofErr w:type="spellStart"/>
      <w:r w:rsidRPr="00F74754">
        <w:rPr>
          <w:rFonts w:ascii="Calibri" w:hAnsi="Calibri"/>
          <w:sz w:val="22"/>
        </w:rPr>
        <w:t>jfarata</w:t>
      </w:r>
      <w:r w:rsidR="00D616AB" w:rsidRPr="00F74754">
        <w:rPr>
          <w:rFonts w:ascii="Calibri" w:hAnsi="Calibri"/>
          <w:sz w:val="22"/>
        </w:rPr>
        <w:t>@newstratus.energy</w:t>
      </w:r>
      <w:proofErr w:type="spellEnd"/>
      <w:r w:rsidR="00D616AB" w:rsidRPr="00F74754">
        <w:rPr>
          <w:rFonts w:ascii="Calibri" w:hAnsi="Calibri"/>
          <w:sz w:val="22"/>
        </w:rPr>
        <w:tab/>
      </w:r>
    </w:p>
    <w:p w14:paraId="10AC483F" w14:textId="77777777" w:rsidR="00D616AB" w:rsidRPr="00F74754" w:rsidRDefault="00D616AB" w:rsidP="00967F98">
      <w:pPr>
        <w:jc w:val="both"/>
        <w:rPr>
          <w:rFonts w:ascii="Calibri" w:hAnsi="Calibri"/>
          <w:b/>
          <w:sz w:val="22"/>
        </w:rPr>
      </w:pPr>
    </w:p>
    <w:p w14:paraId="242D63F0" w14:textId="77777777" w:rsidR="008B5F9F" w:rsidRDefault="008B5F9F" w:rsidP="008B5F9F">
      <w:pPr>
        <w:jc w:val="both"/>
        <w:rPr>
          <w:rFonts w:ascii="Calibri" w:hAnsi="Calibri"/>
          <w:b/>
          <w:sz w:val="22"/>
        </w:rPr>
      </w:pPr>
      <w:r>
        <w:rPr>
          <w:rFonts w:ascii="Calibri" w:hAnsi="Calibri"/>
          <w:b/>
          <w:sz w:val="22"/>
        </w:rPr>
        <w:t>Forward-Looking Information and Reader Advisory</w:t>
      </w:r>
    </w:p>
    <w:p w14:paraId="7C5FA136" w14:textId="77777777" w:rsidR="008B5F9F" w:rsidRDefault="008B5F9F" w:rsidP="008B5F9F">
      <w:pPr>
        <w:jc w:val="both"/>
        <w:rPr>
          <w:rFonts w:ascii="Calibri" w:hAnsi="Calibri"/>
          <w:sz w:val="22"/>
          <w:shd w:val="clear" w:color="auto" w:fill="FFFFFF" w:themeFill="background1"/>
        </w:rPr>
      </w:pPr>
    </w:p>
    <w:p w14:paraId="7BB88934" w14:textId="77777777" w:rsidR="008B5F9F" w:rsidRDefault="008B5F9F" w:rsidP="008B5F9F">
      <w:pPr>
        <w:jc w:val="both"/>
        <w:rPr>
          <w:rFonts w:ascii="Calibri" w:hAnsi="Calibri" w:cs="Times New Roman"/>
          <w:iCs/>
          <w:sz w:val="22"/>
        </w:rPr>
      </w:pPr>
      <w:r>
        <w:rPr>
          <w:rFonts w:ascii="Calibri" w:hAnsi="Calibri" w:cs="Times New Roman"/>
          <w:iCs/>
          <w:sz w:val="22"/>
        </w:rPr>
        <w:t>Certain information set forth in this news release report contains “forward-looking statements”, and “forward-looking information under applicable securities laws. Except for statements of historical fact, certain information contained herein constitutes forward-looking statements, which include expectations about the completion of the Transaction and the Offering, the satisfaction of the escrow release conditions and management’s expectations with respect to the Offering and the Transaction, and are based on the Corporation’s current internal expectations, estimates, projections, assumptions and beliefs, which may prove to be incorrect. Some of the forward-looking statements may be identified by the use of conditional or future tenses or by the use of such words such as “will”, “expects”, “may”, “should”, “estimates”, “anticipates”, “believes”, “projects”, “plans”, and similar expressions, including variations thereof and negative forms.</w:t>
      </w:r>
    </w:p>
    <w:p w14:paraId="71748201" w14:textId="77777777" w:rsidR="008B5F9F" w:rsidRDefault="008B5F9F" w:rsidP="008B5F9F">
      <w:pPr>
        <w:jc w:val="both"/>
        <w:rPr>
          <w:rFonts w:ascii="Calibri" w:hAnsi="Calibri" w:cs="Times New Roman"/>
          <w:iCs/>
          <w:sz w:val="22"/>
        </w:rPr>
      </w:pPr>
    </w:p>
    <w:p w14:paraId="1DAC52C8" w14:textId="77777777" w:rsidR="008B5F9F" w:rsidRDefault="008B5F9F" w:rsidP="008B5F9F">
      <w:pPr>
        <w:jc w:val="both"/>
        <w:rPr>
          <w:rFonts w:ascii="Calibri" w:hAnsi="Calibri" w:cs="Times New Roman"/>
          <w:iCs/>
          <w:sz w:val="22"/>
        </w:rPr>
      </w:pPr>
      <w:r>
        <w:rPr>
          <w:rFonts w:ascii="Calibri" w:hAnsi="Calibri" w:cs="Times New Roman"/>
          <w:iCs/>
          <w:sz w:val="22"/>
        </w:rPr>
        <w:t xml:space="preserve">In respect of the forward-looking statements and information concerning the anticipated completion of the Transaction and the Offering and the anticipated timing for completion of the Transaction and the Offering, the Corporation has provided them in reliance on certain assumptions that it believes are reasonable at this time, including assumptions as to the ability of the Corporation to receive, in a timely manner, the necessary regulatory and other third party approvals, and the ability of the Corporation to satisfy, in a timely manner, the conditions to the closing of the Transaction, and that the Offering is completed as anticipated. These dates may change for a number of reasons, including the inability to secure necessary regulatory or other third party approvals in the time assumed or the need for </w:t>
      </w:r>
      <w:r>
        <w:rPr>
          <w:rFonts w:ascii="Calibri" w:hAnsi="Calibri" w:cs="Times New Roman"/>
          <w:iCs/>
          <w:sz w:val="22"/>
        </w:rPr>
        <w:lastRenderedPageBreak/>
        <w:t>additional time to satisfy the conditions to the completion of the Transaction. Accordingly, readers should not place undue reliance on the forward-looking statements and information contained in this news release concerning these times.</w:t>
      </w:r>
    </w:p>
    <w:p w14:paraId="76F08437" w14:textId="77777777" w:rsidR="008B5F9F" w:rsidRDefault="008B5F9F" w:rsidP="008B5F9F">
      <w:pPr>
        <w:jc w:val="both"/>
        <w:rPr>
          <w:rFonts w:ascii="Calibri" w:hAnsi="Calibri" w:cs="Times New Roman"/>
          <w:iCs/>
          <w:sz w:val="22"/>
        </w:rPr>
      </w:pPr>
    </w:p>
    <w:p w14:paraId="040D2FB7" w14:textId="77777777" w:rsidR="008B5F9F" w:rsidRDefault="008B5F9F" w:rsidP="008B5F9F">
      <w:pPr>
        <w:jc w:val="both"/>
        <w:rPr>
          <w:rFonts w:ascii="Calibri" w:hAnsi="Calibri" w:cs="Times New Roman"/>
          <w:iCs/>
          <w:sz w:val="22"/>
        </w:rPr>
      </w:pPr>
      <w:r>
        <w:rPr>
          <w:rFonts w:ascii="Calibri" w:hAnsi="Calibri" w:cs="Times New Roman"/>
          <w:iCs/>
          <w:sz w:val="22"/>
        </w:rPr>
        <w:t xml:space="preserve">Forward-looking statements also relate to the business of each of the Corporation and </w:t>
      </w:r>
      <w:proofErr w:type="spellStart"/>
      <w:r>
        <w:rPr>
          <w:rFonts w:ascii="Calibri" w:hAnsi="Calibri" w:cs="Times New Roman"/>
          <w:iCs/>
          <w:sz w:val="22"/>
        </w:rPr>
        <w:t>Vetra</w:t>
      </w:r>
      <w:proofErr w:type="spellEnd"/>
      <w:r>
        <w:rPr>
          <w:rFonts w:ascii="Calibri" w:hAnsi="Calibri" w:cs="Times New Roman"/>
          <w:iCs/>
          <w:sz w:val="22"/>
        </w:rPr>
        <w:t>. Forward-looking statements are not guarantees of future performance and undue reliance should not be placed on them. Such forward-looking statements necessarily involve known and unknown risks and uncertainties, which may cause actual performance and financial results in future periods to differ materially from any projections of future performance or results expressed or implied by such forward-looking statements. These risks and uncertainties include, but are not limited to: risks and uncertainties relating to the completion of the transactions as described herein; the ability to successfully integrate operations and realize the anticipated benefits of the Transaction;  incorrect assessments of the value of acquisitions; changes in commodity prices and exchange rates; currency and interest rate fluctuations; the ability to secure adequate financing; and management’s ability to anticipate and manage the foregoing factors and risks. There can be no assurance that forward-looking statements will prove to be accurate, and actual results and future events could differ materially from those anticipated in such statements. New Stratus undertakes no obligation to update forward-looking statements if circumstances or management’s estimates or opinions should change except as required by applicable securities laws.</w:t>
      </w:r>
    </w:p>
    <w:p w14:paraId="08EC2B2B" w14:textId="77777777" w:rsidR="008B5F9F" w:rsidRDefault="008B5F9F" w:rsidP="008B5F9F">
      <w:pPr>
        <w:jc w:val="both"/>
        <w:rPr>
          <w:rFonts w:ascii="Calibri" w:hAnsi="Calibri" w:cs="Times New Roman"/>
          <w:iCs/>
          <w:sz w:val="22"/>
        </w:rPr>
      </w:pPr>
    </w:p>
    <w:p w14:paraId="6740C020" w14:textId="77777777" w:rsidR="008B5F9F" w:rsidRDefault="008B5F9F" w:rsidP="008B5F9F">
      <w:pPr>
        <w:jc w:val="both"/>
        <w:rPr>
          <w:rFonts w:ascii="Calibri" w:hAnsi="Calibri" w:cs="Times New Roman"/>
          <w:iCs/>
          <w:sz w:val="22"/>
        </w:rPr>
      </w:pPr>
      <w:r>
        <w:rPr>
          <w:rFonts w:ascii="Calibri" w:hAnsi="Calibri" w:cs="Times New Roman"/>
          <w:iCs/>
          <w:sz w:val="22"/>
        </w:rPr>
        <w:t>Statements relating to “reserves” are by their nature forward-looking statements, as they involve the implied assessment, based on certain estimates and assumptions that the reserves described can be profitably produced in the future. The recovery and reserve estimates of the reserves provided herein are estimates only and there is no guarantee that the estimated reserves will be recovered. As a consequence, actual results may differ materially from those anticipated in the forward-looking statements.</w:t>
      </w:r>
    </w:p>
    <w:p w14:paraId="3A176B9C" w14:textId="77777777" w:rsidR="008B5F9F" w:rsidRDefault="008B5F9F" w:rsidP="008B5F9F">
      <w:pPr>
        <w:jc w:val="both"/>
        <w:rPr>
          <w:rFonts w:ascii="Calibri" w:hAnsi="Calibri" w:cs="Times New Roman"/>
          <w:iCs/>
          <w:sz w:val="22"/>
        </w:rPr>
      </w:pPr>
    </w:p>
    <w:p w14:paraId="2F880D4D" w14:textId="77777777" w:rsidR="008B5F9F" w:rsidRDefault="008B5F9F" w:rsidP="008B5F9F">
      <w:pPr>
        <w:jc w:val="both"/>
        <w:rPr>
          <w:rFonts w:ascii="Calibri" w:hAnsi="Calibri" w:cs="Times New Roman"/>
          <w:iCs/>
          <w:sz w:val="22"/>
        </w:rPr>
      </w:pPr>
      <w:r>
        <w:rPr>
          <w:rFonts w:ascii="Calibri" w:hAnsi="Calibri" w:cs="Times New Roman"/>
          <w:iCs/>
          <w:sz w:val="22"/>
        </w:rPr>
        <w:t>The reader is cautioned not to place undue reliance on forward-looking statements. New Stratus disclaims any intention or obligation to update or revise any forward-looking statement, whether as a result of new information, future events or otherwise, except to the extent required by securities legislation.</w:t>
      </w:r>
    </w:p>
    <w:p w14:paraId="1172FD58" w14:textId="77777777" w:rsidR="008B5F9F" w:rsidRDefault="008B5F9F" w:rsidP="008B5F9F">
      <w:pPr>
        <w:jc w:val="both"/>
        <w:rPr>
          <w:rFonts w:ascii="Calibri" w:hAnsi="Calibri" w:cs="Times New Roman"/>
          <w:iCs/>
          <w:sz w:val="22"/>
        </w:rPr>
      </w:pPr>
    </w:p>
    <w:p w14:paraId="036DDF8E" w14:textId="77777777" w:rsidR="008B5F9F" w:rsidRDefault="008B5F9F" w:rsidP="008B5F9F">
      <w:pPr>
        <w:jc w:val="both"/>
        <w:rPr>
          <w:rFonts w:ascii="Calibri" w:hAnsi="Calibri" w:cs="Times New Roman"/>
          <w:iCs/>
          <w:sz w:val="22"/>
        </w:rPr>
      </w:pPr>
      <w:r>
        <w:rPr>
          <w:rFonts w:ascii="Calibri" w:hAnsi="Calibri" w:cs="Times New Roman"/>
          <w:iCs/>
          <w:sz w:val="22"/>
        </w:rPr>
        <w:t>New Stratus has included the above summary of assumptions and risks related to forward looking information provided in this news release in order to provide shareholders with a more complete perspective on the Transaction and Offering and such information may not be appropriate for other purposes. Actual results, performance or achievement could differ materially from those expressed in, or implied by, these forward-looking statements and, accordingly, no assurance can be given that any of the events anticipated by the forward looking statements will transpire or occur, or if any of them do so, what benefits may be derived there from.</w:t>
      </w:r>
    </w:p>
    <w:p w14:paraId="2926021C" w14:textId="77777777" w:rsidR="008B5F9F" w:rsidRDefault="008B5F9F" w:rsidP="008B5F9F">
      <w:pPr>
        <w:jc w:val="both"/>
        <w:rPr>
          <w:rFonts w:ascii="Calibri" w:hAnsi="Calibri" w:cs="Times New Roman"/>
          <w:iCs/>
          <w:sz w:val="22"/>
        </w:rPr>
      </w:pPr>
    </w:p>
    <w:p w14:paraId="322BB680" w14:textId="77777777" w:rsidR="008B5F9F" w:rsidRDefault="008B5F9F" w:rsidP="008B5F9F">
      <w:pPr>
        <w:jc w:val="both"/>
        <w:rPr>
          <w:rFonts w:ascii="Calibri" w:hAnsi="Calibri" w:cs="Times New Roman"/>
          <w:iCs/>
          <w:sz w:val="22"/>
        </w:rPr>
      </w:pPr>
      <w:r>
        <w:rPr>
          <w:rFonts w:ascii="Calibri" w:hAnsi="Calibri" w:cs="Times New Roman"/>
          <w:iCs/>
          <w:sz w:val="22"/>
        </w:rPr>
        <w:t>This news release refers to certain financial measures that are not determined in accordance with Generally Acceptable Accounting Principles applicable to publicly traded companies in Canada (“</w:t>
      </w:r>
      <w:r>
        <w:rPr>
          <w:rFonts w:ascii="Calibri" w:hAnsi="Calibri" w:cs="Times New Roman"/>
          <w:b/>
          <w:iCs/>
          <w:sz w:val="22"/>
        </w:rPr>
        <w:t>GAAP</w:t>
      </w:r>
      <w:r>
        <w:rPr>
          <w:rFonts w:ascii="Calibri" w:hAnsi="Calibri" w:cs="Times New Roman"/>
          <w:iCs/>
          <w:sz w:val="22"/>
        </w:rPr>
        <w:t>”). Measures such as, earnings before interest, tax, depreciation and amortization (</w:t>
      </w:r>
      <w:r>
        <w:rPr>
          <w:rFonts w:ascii="Calibri" w:hAnsi="Calibri" w:cs="Times New Roman"/>
          <w:bCs/>
          <w:iCs/>
          <w:sz w:val="22"/>
        </w:rPr>
        <w:t>EBITDA)</w:t>
      </w:r>
      <w:r>
        <w:rPr>
          <w:rFonts w:ascii="Calibri" w:hAnsi="Calibri" w:cs="Times New Roman"/>
          <w:iCs/>
          <w:sz w:val="22"/>
        </w:rPr>
        <w:t xml:space="preserve">, are not standard measures under GAAP and, therefore, may not be comparable to similar measures reported by other entities. Management believes that this supplemental measure facilitates the understanding of the acquisition metrics of the Transaction. These financial measures are considered additional GAAP or non-GAAP financial measures. Readers are cautioned that these measures should not be construed as an alternative to measures determined in accordance with GAAP as an indication of performance. </w:t>
      </w:r>
    </w:p>
    <w:p w14:paraId="52052D88" w14:textId="77777777" w:rsidR="008B5F9F" w:rsidRDefault="008B5F9F" w:rsidP="008B5F9F">
      <w:pPr>
        <w:jc w:val="both"/>
        <w:rPr>
          <w:rFonts w:ascii="Calibri" w:hAnsi="Calibri" w:cs="Times New Roman"/>
          <w:iCs/>
          <w:sz w:val="22"/>
        </w:rPr>
      </w:pPr>
    </w:p>
    <w:p w14:paraId="2BB09CDD" w14:textId="77777777" w:rsidR="008B5F9F" w:rsidRDefault="008B5F9F" w:rsidP="008B5F9F">
      <w:pPr>
        <w:jc w:val="both"/>
        <w:rPr>
          <w:rFonts w:ascii="Calibri" w:hAnsi="Calibri" w:cs="Times New Roman"/>
          <w:iCs/>
          <w:sz w:val="22"/>
        </w:rPr>
      </w:pPr>
      <w:r>
        <w:rPr>
          <w:rFonts w:ascii="Calibri" w:hAnsi="Calibri" w:cs="Times New Roman"/>
          <w:iCs/>
          <w:sz w:val="22"/>
        </w:rPr>
        <w:lastRenderedPageBreak/>
        <w:t>This press release is not an offer of the securities for sale in the United States. The securities may not be offered or sold in the United States absent registration or an available exemption from the registration requirements of the U.S. Securities Act of 1933, as amended (the "U.S. Securities Act") and applicable U.S. state securities laws. New Stratus will not make any public offering of the securities in the United States. This press release shall not constitute an offer to sell or the solicitation of an offer to buy, nor shall there be any sale of these securities, in any jurisdiction in which such offer, solicitation or sale would be unlawful.</w:t>
      </w:r>
    </w:p>
    <w:p w14:paraId="317E97B0" w14:textId="77777777" w:rsidR="008B5F9F" w:rsidRDefault="008B5F9F" w:rsidP="008B5F9F">
      <w:pPr>
        <w:jc w:val="both"/>
        <w:rPr>
          <w:rFonts w:ascii="Calibri" w:hAnsi="Calibri" w:cs="Times New Roman"/>
          <w:sz w:val="22"/>
        </w:rPr>
      </w:pPr>
    </w:p>
    <w:p w14:paraId="608E06C3" w14:textId="77777777" w:rsidR="008B5F9F" w:rsidRDefault="008B5F9F" w:rsidP="008B5F9F">
      <w:pPr>
        <w:jc w:val="both"/>
        <w:rPr>
          <w:rFonts w:ascii="Calibri" w:hAnsi="Calibri" w:cs="Times New Roman"/>
          <w:b/>
          <w:sz w:val="22"/>
        </w:rPr>
      </w:pPr>
      <w:r>
        <w:rPr>
          <w:rFonts w:ascii="Calibri" w:hAnsi="Calibri" w:cs="Times New Roman"/>
          <w:b/>
          <w:sz w:val="22"/>
        </w:rPr>
        <w:t>Neither TSX Venture Exchange nor its Regulation Services Provider (as that term is defined in the policies of the TSX Venture Exchange) accepts responsibility for the adequacy or accuracy of this release.</w:t>
      </w:r>
    </w:p>
    <w:p w14:paraId="43D074CE" w14:textId="7D28E02F" w:rsidR="0020135C" w:rsidRPr="00F43778" w:rsidRDefault="0020135C" w:rsidP="008B5F9F">
      <w:pPr>
        <w:jc w:val="both"/>
        <w:rPr>
          <w:rFonts w:ascii="Calibri" w:hAnsi="Calibri" w:cs="Times New Roman"/>
          <w:b/>
          <w:sz w:val="22"/>
        </w:rPr>
      </w:pPr>
    </w:p>
    <w:sectPr w:rsidR="0020135C" w:rsidRPr="00F43778">
      <w:footerReference w:type="default" r:id="rId9"/>
      <w:footerReference w:type="first" r:id="rId10"/>
      <w:pgSz w:w="12240" w:h="15840" w:code="1"/>
      <w:pgMar w:top="1152" w:right="1440" w:bottom="100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999D3" w14:textId="77777777" w:rsidR="003F6061" w:rsidRDefault="003F6061">
      <w:r>
        <w:separator/>
      </w:r>
    </w:p>
  </w:endnote>
  <w:endnote w:type="continuationSeparator" w:id="0">
    <w:p w14:paraId="79F53ADB" w14:textId="77777777" w:rsidR="003F6061" w:rsidRDefault="003F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Weissenhof Grotesk Bold">
    <w:altName w:val="Weissenhof Grotesk Bold"/>
    <w:panose1 w:val="00000000000000000000"/>
    <w:charset w:val="00"/>
    <w:family w:val="swiss"/>
    <w:notTrueType/>
    <w:pitch w:val="default"/>
    <w:sig w:usb0="00000003" w:usb1="00000000" w:usb2="00000000" w:usb3="00000000" w:csb0="00000001" w:csb1="00000000"/>
  </w:font>
  <w:font w:name="Weissenhof Grotesk Italic">
    <w:altName w:val="Weissenhof Grotesk 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90B99" w14:textId="77777777" w:rsidR="0020135C" w:rsidRDefault="00B2696A">
    <w:pPr>
      <w:pStyle w:val="Footer"/>
      <w:ind w:left="-144"/>
    </w:pPr>
    <w:r>
      <w:tab/>
    </w:r>
  </w:p>
  <w:p w14:paraId="467EA3E1" w14:textId="77777777" w:rsidR="0020135C" w:rsidRDefault="00B2696A">
    <w:pPr>
      <w:pStyle w:val="Footer"/>
      <w:ind w:left="-144"/>
    </w:pPr>
    <w:r>
      <w:rPr>
        <w:noProof/>
        <w:lang w:eastAsia="zh-CN"/>
      </w:rPr>
      <mc:AlternateContent>
        <mc:Choice Requires="wps">
          <w:drawing>
            <wp:anchor distT="0" distB="0" distL="114300" distR="114300" simplePos="0" relativeHeight="251659264" behindDoc="1" locked="0" layoutInCell="1" allowOverlap="1" wp14:anchorId="23B27B46" wp14:editId="112FE155">
              <wp:simplePos x="0" y="0"/>
              <wp:positionH relativeFrom="margin">
                <wp:posOffset>0</wp:posOffset>
              </wp:positionH>
              <wp:positionV relativeFrom="page">
                <wp:align>bottom</wp:align>
              </wp:positionV>
              <wp:extent cx="2560320" cy="640080"/>
              <wp:effectExtent l="0" t="0" r="1143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BCEFC" w14:textId="77777777" w:rsidR="0020135C" w:rsidRDefault="0020135C">
                          <w:pPr>
                            <w:pStyle w:val="MacPacTrailer"/>
                            <w:spacing w:line="20" w:lineRule="exact"/>
                          </w:pPr>
                        </w:p>
                        <w:p w14:paraId="1A706F31" w14:textId="77777777" w:rsidR="0020135C" w:rsidRDefault="0020135C">
                          <w:pPr>
                            <w:pStyle w:val="MacPacTrailer"/>
                          </w:pPr>
                        </w:p>
                        <w:p w14:paraId="666675E0" w14:textId="77777777" w:rsidR="0020135C" w:rsidRDefault="0020135C">
                          <w:pPr>
                            <w:pStyle w:val="MacPacTrailer"/>
                            <w:spacing w:line="20" w:lineRule="exact"/>
                          </w:pPr>
                        </w:p>
                        <w:p w14:paraId="03C512BB" w14:textId="77777777" w:rsidR="0020135C" w:rsidRDefault="0020135C">
                          <w:pPr>
                            <w:pStyle w:val="MacPacTrailer"/>
                            <w:spacing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27B46" id="_x0000_t202" coordsize="21600,21600" o:spt="202" path="m,l,21600r21600,l21600,xe">
              <v:stroke joinstyle="miter"/>
              <v:path gradientshapeok="t" o:connecttype="rect"/>
            </v:shapetype>
            <v:shape id="Text Box 2" o:spid="_x0000_s1026" type="#_x0000_t202" style="position:absolute;left:0;text-align:left;margin-left:0;margin-top:0;width:201.6pt;height:50.4pt;z-index:-251657216;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" filled="f" stroked="f">
              <v:textbox inset="0,0,0,0">
                <w:txbxContent>
                  <w:p w14:paraId="3DEBCEFC" w14:textId="77777777" w:rsidR="0020135C" w:rsidRDefault="0020135C">
                    <w:pPr>
                      <w:pStyle w:val="MacPacTrailer"/>
                      <w:spacing w:line="20" w:lineRule="exact"/>
                    </w:pPr>
                  </w:p>
                  <w:p w14:paraId="1A706F31" w14:textId="77777777" w:rsidR="0020135C" w:rsidRDefault="0020135C">
                    <w:pPr>
                      <w:pStyle w:val="MacPacTrailer"/>
                    </w:pPr>
                  </w:p>
                  <w:p w14:paraId="666675E0" w14:textId="77777777" w:rsidR="0020135C" w:rsidRDefault="0020135C">
                    <w:pPr>
                      <w:pStyle w:val="MacPacTrailer"/>
                      <w:spacing w:line="20" w:lineRule="exact"/>
                    </w:pPr>
                  </w:p>
                  <w:p w14:paraId="03C512BB" w14:textId="77777777" w:rsidR="0020135C" w:rsidRDefault="0020135C">
                    <w:pPr>
                      <w:pStyle w:val="MacPacTrailer"/>
                      <w:spacing w:line="20" w:lineRule="exact"/>
                    </w:pP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36413" w14:textId="77777777" w:rsidR="0020135C" w:rsidRDefault="00B2696A">
    <w:pPr>
      <w:pStyle w:val="Footer"/>
      <w:ind w:left="-144"/>
    </w:pPr>
    <w:r>
      <w:rPr>
        <w:noProof/>
        <w:lang w:eastAsia="zh-CN"/>
      </w:rPr>
      <mc:AlternateContent>
        <mc:Choice Requires="wps">
          <w:drawing>
            <wp:anchor distT="0" distB="0" distL="114300" distR="114300" simplePos="0" relativeHeight="251661312" behindDoc="1" locked="0" layoutInCell="1" allowOverlap="1" wp14:anchorId="74E4367E" wp14:editId="720B7DF3">
              <wp:simplePos x="0" y="0"/>
              <wp:positionH relativeFrom="margin">
                <wp:posOffset>0</wp:posOffset>
              </wp:positionH>
              <wp:positionV relativeFrom="page">
                <wp:align>bottom</wp:align>
              </wp:positionV>
              <wp:extent cx="2560320" cy="640080"/>
              <wp:effectExtent l="0" t="0" r="1143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03ADB" w14:textId="77777777" w:rsidR="0020135C" w:rsidRDefault="0020135C">
                          <w:pPr>
                            <w:pStyle w:val="MacPacTrailer"/>
                            <w:spacing w:line="20" w:lineRule="exact"/>
                          </w:pPr>
                        </w:p>
                        <w:p w14:paraId="261ED8E6" w14:textId="77777777" w:rsidR="0020135C" w:rsidRDefault="00B2696A">
                          <w:pPr>
                            <w:pStyle w:val="MacPacTrailer"/>
                          </w:pPr>
                          <w:r>
                            <w:t>WSLEGAL\076124\00001\18012956v1</w:t>
                          </w:r>
                        </w:p>
                        <w:p w14:paraId="0873B445" w14:textId="77777777" w:rsidR="0020135C" w:rsidRDefault="0020135C">
                          <w:pPr>
                            <w:pStyle w:val="MacPacTrailer"/>
                            <w:spacing w:line="20" w:lineRule="exact"/>
                          </w:pPr>
                        </w:p>
                        <w:p w14:paraId="59D75DD5" w14:textId="77777777" w:rsidR="0020135C" w:rsidRDefault="0020135C">
                          <w:pPr>
                            <w:pStyle w:val="MacPacTrailer"/>
                            <w:spacing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4367E" id="_x0000_t202" coordsize="21600,21600" o:spt="202" path="m,l,21600r21600,l21600,xe">
              <v:stroke joinstyle="miter"/>
              <v:path gradientshapeok="t" o:connecttype="rect"/>
            </v:shapetype>
            <v:shape id="Text Box 1" o:spid="_x0000_s1027" type="#_x0000_t202" style="position:absolute;left:0;text-align:left;margin-left:0;margin-top:0;width:201.6pt;height:50.4pt;z-index:-251655168;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61rwIAALA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" filled="f" stroked="f">
              <v:textbox inset="0,0,0,0">
                <w:txbxContent>
                  <w:p w14:paraId="67403ADB" w14:textId="77777777" w:rsidR="0020135C" w:rsidRDefault="0020135C">
                    <w:pPr>
                      <w:pStyle w:val="MacPacTrailer"/>
                      <w:spacing w:line="20" w:lineRule="exact"/>
                    </w:pPr>
                  </w:p>
                  <w:p w14:paraId="261ED8E6" w14:textId="77777777" w:rsidR="0020135C" w:rsidRDefault="00B2696A">
                    <w:pPr>
                      <w:pStyle w:val="MacPacTrailer"/>
                    </w:pPr>
                    <w:r>
                      <w:t>WSLEGAL\076124\00001\18012956v1</w:t>
                    </w:r>
                  </w:p>
                  <w:p w14:paraId="0873B445" w14:textId="77777777" w:rsidR="0020135C" w:rsidRDefault="0020135C">
                    <w:pPr>
                      <w:pStyle w:val="MacPacTrailer"/>
                      <w:spacing w:line="20" w:lineRule="exact"/>
                    </w:pPr>
                  </w:p>
                  <w:p w14:paraId="59D75DD5" w14:textId="77777777" w:rsidR="0020135C" w:rsidRDefault="0020135C">
                    <w:pPr>
                      <w:pStyle w:val="MacPacTrailer"/>
                      <w:spacing w:line="20" w:lineRule="exact"/>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8B0DB" w14:textId="77777777" w:rsidR="003F6061" w:rsidRDefault="003F6061">
      <w:r>
        <w:separator/>
      </w:r>
    </w:p>
  </w:footnote>
  <w:footnote w:type="continuationSeparator" w:id="0">
    <w:p w14:paraId="0A5BFACD" w14:textId="77777777" w:rsidR="003F6061" w:rsidRDefault="003F6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322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023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62228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00F8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CC43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5FA82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FA44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C471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5C6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44C1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7B552A"/>
    <w:multiLevelType w:val="multilevel"/>
    <w:tmpl w:val="F52A175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1BB63DA8"/>
    <w:multiLevelType w:val="multilevel"/>
    <w:tmpl w:val="FADA2E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2" w15:restartNumberingAfterBreak="0">
    <w:nsid w:val="32954C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5100C1"/>
    <w:multiLevelType w:val="multilevel"/>
    <w:tmpl w:val="CFFA2972"/>
    <w:styleLink w:val="ArticleSection"/>
    <w:lvl w:ilvl="0">
      <w:start w:val="1"/>
      <w:numFmt w:val="upperRoman"/>
      <w:lvlText w:val="Article %1."/>
      <w:lvlJc w:val="left"/>
      <w:pPr>
        <w:tabs>
          <w:tab w:val="num" w:pos="720"/>
        </w:tabs>
        <w:ind w:left="720" w:hanging="720"/>
      </w:pPr>
      <w:rPr>
        <w:rFonts w:hint="default"/>
      </w:rPr>
    </w:lvl>
    <w:lvl w:ilvl="1">
      <w:start w:val="1"/>
      <w:numFmt w:val="decimalZero"/>
      <w:isLgl/>
      <w:lvlText w:val="Section %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righ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righ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4" w15:restartNumberingAfterBreak="0">
    <w:nsid w:val="3C12312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C765F5"/>
    <w:multiLevelType w:val="multilevel"/>
    <w:tmpl w:val="24D41C82"/>
    <w:lvl w:ilvl="0">
      <w:start w:val="1"/>
      <w:numFmt w:val="decimal"/>
      <w:pStyle w:val="Blainco2Numbering"/>
      <w:suff w:val="nothing"/>
      <w:lvlText w:val=" ARTICLE %1"/>
      <w:lvlJc w:val="center"/>
      <w:pPr>
        <w:ind w:left="-360" w:firstLine="4680"/>
      </w:pPr>
      <w:rPr>
        <w:rFonts w:ascii="Times New Roman" w:hAnsi="Times New Roman" w:cs="Times New Roman" w:hint="default"/>
        <w:b w:val="0"/>
        <w:i w:val="0"/>
        <w:caps w:val="0"/>
        <w:strike w:val="0"/>
        <w:dstrike w:val="0"/>
        <w:vanish w:val="0"/>
        <w:color w:val="000000"/>
        <w:sz w:val="22"/>
        <w:u w:val="none"/>
        <w:vertAlign w:val="baseline"/>
      </w:rPr>
    </w:lvl>
    <w:lvl w:ilvl="1">
      <w:start w:val="1"/>
      <w:numFmt w:val="decimal"/>
      <w:lvlText w:val="%1.%2"/>
      <w:lvlJc w:val="left"/>
      <w:pPr>
        <w:tabs>
          <w:tab w:val="num" w:pos="360"/>
        </w:tabs>
        <w:ind w:left="360" w:hanging="720"/>
      </w:pPr>
      <w:rPr>
        <w:rFonts w:ascii="Times New Roman" w:hAnsi="Times New Roman" w:cs="Times New Roman" w:hint="default"/>
        <w:b w:val="0"/>
        <w:i w:val="0"/>
        <w:caps w:val="0"/>
        <w:strike w:val="0"/>
        <w:dstrike w:val="0"/>
        <w:vanish w:val="0"/>
        <w:color w:val="000000"/>
        <w:sz w:val="22"/>
        <w:u w:val="none"/>
        <w:vertAlign w:val="baseline"/>
      </w:rPr>
    </w:lvl>
    <w:lvl w:ilvl="2">
      <w:start w:val="1"/>
      <w:numFmt w:val="lowerLetter"/>
      <w:lvlText w:val="(%3)"/>
      <w:lvlJc w:val="left"/>
      <w:pPr>
        <w:tabs>
          <w:tab w:val="num" w:pos="644"/>
        </w:tabs>
        <w:ind w:left="644" w:hanging="720"/>
      </w:pPr>
      <w:rPr>
        <w:rFonts w:ascii="Times New Roman" w:hAnsi="Times New Roman" w:cs="Times New Roman" w:hint="default"/>
        <w:b w:val="0"/>
        <w:i w:val="0"/>
        <w:caps w:val="0"/>
        <w:strike w:val="0"/>
        <w:dstrike w:val="0"/>
        <w:vanish w:val="0"/>
        <w:color w:val="000000"/>
        <w:sz w:val="22"/>
        <w:u w:val="none"/>
        <w:vertAlign w:val="baseline"/>
      </w:rPr>
    </w:lvl>
    <w:lvl w:ilvl="3">
      <w:start w:val="1"/>
      <w:numFmt w:val="lowerRoman"/>
      <w:lvlText w:val="(%4)"/>
      <w:lvlJc w:val="left"/>
      <w:pPr>
        <w:tabs>
          <w:tab w:val="num" w:pos="1800"/>
        </w:tabs>
        <w:ind w:left="1800" w:hanging="720"/>
      </w:pPr>
      <w:rPr>
        <w:rFonts w:ascii="Times New Roman" w:hAnsi="Times New Roman" w:cs="Times New Roman" w:hint="default"/>
        <w:b w:val="0"/>
        <w:i w:val="0"/>
        <w:caps w:val="0"/>
        <w:strike w:val="0"/>
        <w:dstrike w:val="0"/>
        <w:vanish w:val="0"/>
        <w:color w:val="000000"/>
        <w:sz w:val="22"/>
        <w:u w:val="none"/>
        <w:vertAlign w:val="baseline"/>
      </w:rPr>
    </w:lvl>
    <w:lvl w:ilvl="4">
      <w:start w:val="1"/>
      <w:numFmt w:val="upperLetter"/>
      <w:lvlText w:val="%5."/>
      <w:lvlJc w:val="left"/>
      <w:pPr>
        <w:tabs>
          <w:tab w:val="num" w:pos="2520"/>
        </w:tabs>
        <w:ind w:left="2520" w:hanging="720"/>
      </w:pPr>
      <w:rPr>
        <w:rFonts w:ascii="Times New Roman" w:hAnsi="Times New Roman" w:cs="Times New Roman" w:hint="default"/>
        <w:b w:val="0"/>
        <w:i w:val="0"/>
        <w:caps w:val="0"/>
        <w:strike w:val="0"/>
        <w:dstrike w:val="0"/>
        <w:vanish w:val="0"/>
        <w:color w:val="000000"/>
        <w:sz w:val="22"/>
        <w:u w:val="none"/>
        <w:vertAlign w:val="baseline"/>
      </w:rPr>
    </w:lvl>
    <w:lvl w:ilvl="5">
      <w:start w:val="1"/>
      <w:numFmt w:val="upperRoman"/>
      <w:lvlText w:val="(%6)"/>
      <w:lvlJc w:val="left"/>
      <w:pPr>
        <w:tabs>
          <w:tab w:val="num" w:pos="3240"/>
        </w:tabs>
        <w:ind w:left="3240" w:hanging="720"/>
      </w:pPr>
      <w:rPr>
        <w:rFonts w:ascii="Arial" w:hAnsi="Arial" w:hint="default"/>
        <w:b w:val="0"/>
        <w:i w:val="0"/>
        <w:caps w:val="0"/>
        <w:strike w:val="0"/>
        <w:dstrike w:val="0"/>
        <w:vanish w:val="0"/>
        <w:color w:val="000000"/>
        <w:sz w:val="22"/>
        <w:u w:val="none"/>
        <w:vertAlign w:val="baseline"/>
      </w:rPr>
    </w:lvl>
    <w:lvl w:ilvl="6">
      <w:start w:val="1"/>
      <w:numFmt w:val="decimal"/>
      <w:lvlText w:val="(%7)"/>
      <w:lvlJc w:val="left"/>
      <w:pPr>
        <w:tabs>
          <w:tab w:val="num" w:pos="3960"/>
        </w:tabs>
        <w:ind w:left="3960" w:hanging="720"/>
      </w:pPr>
      <w:rPr>
        <w:rFonts w:ascii="Arial" w:hAnsi="Arial" w:hint="default"/>
        <w:b w:val="0"/>
        <w:i w:val="0"/>
        <w:caps w:val="0"/>
        <w:strike w:val="0"/>
        <w:dstrike w:val="0"/>
        <w:vanish w:val="0"/>
        <w:color w:val="000000"/>
        <w:sz w:val="22"/>
        <w:u w:val="none"/>
        <w:vertAlign w:val="baseline"/>
      </w:rPr>
    </w:lvl>
    <w:lvl w:ilvl="7">
      <w:start w:val="1"/>
      <w:numFmt w:val="lowerLetter"/>
      <w:lvlText w:val="%8."/>
      <w:lvlJc w:val="left"/>
      <w:pPr>
        <w:tabs>
          <w:tab w:val="num" w:pos="4680"/>
        </w:tabs>
        <w:ind w:left="4680" w:hanging="720"/>
      </w:pPr>
      <w:rPr>
        <w:rFonts w:ascii="Arial" w:hAnsi="Arial" w:hint="default"/>
        <w:b w:val="0"/>
        <w:i w:val="0"/>
        <w:caps w:val="0"/>
        <w:strike w:val="0"/>
        <w:dstrike w:val="0"/>
        <w:vanish w:val="0"/>
        <w:color w:val="000000"/>
        <w:sz w:val="22"/>
        <w:u w:val="none"/>
        <w:vertAlign w:val="baseline"/>
      </w:rPr>
    </w:lvl>
    <w:lvl w:ilvl="8">
      <w:start w:val="1"/>
      <w:numFmt w:val="lowerRoman"/>
      <w:lvlText w:val="%9."/>
      <w:lvlJc w:val="left"/>
      <w:pPr>
        <w:tabs>
          <w:tab w:val="num" w:pos="5400"/>
        </w:tabs>
        <w:ind w:left="5400" w:hanging="720"/>
      </w:pPr>
      <w:rPr>
        <w:rFonts w:ascii="Arial" w:hAnsi="Arial" w:hint="default"/>
        <w:b w:val="0"/>
        <w:i w:val="0"/>
        <w:caps w:val="0"/>
        <w:strike w:val="0"/>
        <w:dstrike w:val="0"/>
        <w:vanish w:val="0"/>
        <w:color w:val="000000"/>
        <w:sz w:val="22"/>
        <w:u w:val="none"/>
        <w:vertAlign w:val="baseline"/>
      </w:rPr>
    </w:lvl>
  </w:abstractNum>
  <w:abstractNum w:abstractNumId="16" w15:restartNumberingAfterBreak="0">
    <w:nsid w:val="5EA34E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8303FA7"/>
    <w:multiLevelType w:val="multilevel"/>
    <w:tmpl w:val="88021518"/>
    <w:lvl w:ilvl="0">
      <w:start w:val="1"/>
      <w:numFmt w:val="decimal"/>
      <w:pStyle w:val="Notes"/>
      <w:lvlText w:val="(%1)"/>
      <w:lvlJc w:val="left"/>
      <w:pPr>
        <w:tabs>
          <w:tab w:val="num" w:pos="810"/>
        </w:tabs>
        <w:ind w:left="810" w:hanging="720"/>
      </w:pPr>
    </w:lvl>
    <w:lvl w:ilvl="1">
      <w:start w:val="1"/>
      <w:numFmt w:val="decimal"/>
      <w:lvlText w:val="%2."/>
      <w:lvlJc w:val="left"/>
      <w:pPr>
        <w:tabs>
          <w:tab w:val="num" w:pos="1530"/>
        </w:tabs>
        <w:ind w:left="1530" w:hanging="360"/>
      </w:pPr>
    </w:lvl>
    <w:lvl w:ilvl="2">
      <w:start w:val="1"/>
      <w:numFmt w:val="decimal"/>
      <w:lvlText w:val="%3."/>
      <w:lvlJc w:val="left"/>
      <w:pPr>
        <w:tabs>
          <w:tab w:val="num" w:pos="2250"/>
        </w:tabs>
        <w:ind w:left="2250" w:hanging="360"/>
      </w:pPr>
    </w:lvl>
    <w:lvl w:ilvl="3">
      <w:start w:val="1"/>
      <w:numFmt w:val="decimal"/>
      <w:lvlText w:val="%4."/>
      <w:lvlJc w:val="left"/>
      <w:pPr>
        <w:tabs>
          <w:tab w:val="num" w:pos="2970"/>
        </w:tabs>
        <w:ind w:left="2970" w:hanging="360"/>
      </w:pPr>
    </w:lvl>
    <w:lvl w:ilvl="4">
      <w:start w:val="1"/>
      <w:numFmt w:val="decimal"/>
      <w:lvlText w:val="%5."/>
      <w:lvlJc w:val="left"/>
      <w:pPr>
        <w:tabs>
          <w:tab w:val="num" w:pos="3690"/>
        </w:tabs>
        <w:ind w:left="3690" w:hanging="360"/>
      </w:pPr>
    </w:lvl>
    <w:lvl w:ilvl="5">
      <w:start w:val="1"/>
      <w:numFmt w:val="decimal"/>
      <w:lvlText w:val="%6."/>
      <w:lvlJc w:val="left"/>
      <w:pPr>
        <w:tabs>
          <w:tab w:val="num" w:pos="4410"/>
        </w:tabs>
        <w:ind w:left="4410" w:hanging="360"/>
      </w:pPr>
    </w:lvl>
    <w:lvl w:ilvl="6">
      <w:start w:val="1"/>
      <w:numFmt w:val="decimal"/>
      <w:lvlText w:val="%7."/>
      <w:lvlJc w:val="left"/>
      <w:pPr>
        <w:tabs>
          <w:tab w:val="num" w:pos="5130"/>
        </w:tabs>
        <w:ind w:left="5130" w:hanging="360"/>
      </w:pPr>
    </w:lvl>
    <w:lvl w:ilvl="7">
      <w:start w:val="1"/>
      <w:numFmt w:val="decimal"/>
      <w:lvlText w:val="%8."/>
      <w:lvlJc w:val="left"/>
      <w:pPr>
        <w:tabs>
          <w:tab w:val="num" w:pos="5850"/>
        </w:tabs>
        <w:ind w:left="5850" w:hanging="360"/>
      </w:pPr>
    </w:lvl>
    <w:lvl w:ilvl="8">
      <w:start w:val="1"/>
      <w:numFmt w:val="decimal"/>
      <w:lvlText w:val="%9."/>
      <w:lvlJc w:val="left"/>
      <w:pPr>
        <w:tabs>
          <w:tab w:val="num" w:pos="6570"/>
        </w:tabs>
        <w:ind w:left="6570" w:hanging="360"/>
      </w:pPr>
    </w:lvl>
  </w:abstractNum>
  <w:abstractNum w:abstractNumId="18" w15:restartNumberingAfterBreak="0">
    <w:nsid w:val="742D3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F471ED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8"/>
  </w:num>
  <w:num w:numId="3">
    <w:abstractNumId w:val="16"/>
  </w:num>
  <w:num w:numId="4">
    <w:abstractNumId w:val="13"/>
  </w:num>
  <w:num w:numId="5">
    <w:abstractNumId w:val="14"/>
  </w:num>
  <w:num w:numId="6">
    <w:abstractNumId w:val="11"/>
  </w:num>
  <w:num w:numId="7">
    <w:abstractNumId w:val="19"/>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IDAuthor" w:val="False"/>
    <w:docVar w:name="DocIDClientMatter" w:val="False"/>
    <w:docVar w:name="DocIDDate" w:val="False"/>
    <w:docVar w:name="DocIDDateText" w:val="False"/>
    <w:docVar w:name="DocIDLibrary" w:val="True"/>
    <w:docVar w:name="DocIDRemoved" w:val="True"/>
    <w:docVar w:name="DocIDType" w:val="AllPages"/>
    <w:docVar w:name="DocIDTypist" w:val="False"/>
    <w:docVar w:name="LegacyDocIDRemoved" w:val="True"/>
  </w:docVars>
  <w:rsids>
    <w:rsidRoot w:val="0020135C"/>
    <w:rsid w:val="0000413E"/>
    <w:rsid w:val="000235BB"/>
    <w:rsid w:val="000511DC"/>
    <w:rsid w:val="00067B71"/>
    <w:rsid w:val="000704EF"/>
    <w:rsid w:val="000B256A"/>
    <w:rsid w:val="000F45C6"/>
    <w:rsid w:val="00114857"/>
    <w:rsid w:val="00135E92"/>
    <w:rsid w:val="00162439"/>
    <w:rsid w:val="00166B84"/>
    <w:rsid w:val="00177159"/>
    <w:rsid w:val="00182169"/>
    <w:rsid w:val="00197021"/>
    <w:rsid w:val="001B4CE7"/>
    <w:rsid w:val="001E78D1"/>
    <w:rsid w:val="001F30DB"/>
    <w:rsid w:val="0020135C"/>
    <w:rsid w:val="002124A1"/>
    <w:rsid w:val="0022393F"/>
    <w:rsid w:val="0024078C"/>
    <w:rsid w:val="0026007B"/>
    <w:rsid w:val="00265E71"/>
    <w:rsid w:val="00266C2E"/>
    <w:rsid w:val="00274565"/>
    <w:rsid w:val="002B7D03"/>
    <w:rsid w:val="002D278B"/>
    <w:rsid w:val="002E2F48"/>
    <w:rsid w:val="003051F6"/>
    <w:rsid w:val="00331C29"/>
    <w:rsid w:val="00346931"/>
    <w:rsid w:val="003B064F"/>
    <w:rsid w:val="003E7334"/>
    <w:rsid w:val="003E7B49"/>
    <w:rsid w:val="003F1C13"/>
    <w:rsid w:val="003F6061"/>
    <w:rsid w:val="003F6FDE"/>
    <w:rsid w:val="00434362"/>
    <w:rsid w:val="00463C54"/>
    <w:rsid w:val="00477487"/>
    <w:rsid w:val="004877D5"/>
    <w:rsid w:val="004D22FC"/>
    <w:rsid w:val="004E0CED"/>
    <w:rsid w:val="00515BF3"/>
    <w:rsid w:val="00516A28"/>
    <w:rsid w:val="00520212"/>
    <w:rsid w:val="00523278"/>
    <w:rsid w:val="00530508"/>
    <w:rsid w:val="00531538"/>
    <w:rsid w:val="00534D72"/>
    <w:rsid w:val="00551E01"/>
    <w:rsid w:val="005A03BB"/>
    <w:rsid w:val="005E1631"/>
    <w:rsid w:val="005F773B"/>
    <w:rsid w:val="00611C0C"/>
    <w:rsid w:val="00621DC7"/>
    <w:rsid w:val="00632A6D"/>
    <w:rsid w:val="006A2CB3"/>
    <w:rsid w:val="006A44B3"/>
    <w:rsid w:val="006A4EAE"/>
    <w:rsid w:val="006A59D3"/>
    <w:rsid w:val="006C666C"/>
    <w:rsid w:val="006E6811"/>
    <w:rsid w:val="00707493"/>
    <w:rsid w:val="00753A18"/>
    <w:rsid w:val="00777751"/>
    <w:rsid w:val="00792CEC"/>
    <w:rsid w:val="007A0B52"/>
    <w:rsid w:val="007A1D35"/>
    <w:rsid w:val="007B02DC"/>
    <w:rsid w:val="007B5503"/>
    <w:rsid w:val="007C370C"/>
    <w:rsid w:val="00811BCF"/>
    <w:rsid w:val="00822C31"/>
    <w:rsid w:val="00825053"/>
    <w:rsid w:val="008826A3"/>
    <w:rsid w:val="008863BC"/>
    <w:rsid w:val="00896EE9"/>
    <w:rsid w:val="008B45EA"/>
    <w:rsid w:val="008B5EDC"/>
    <w:rsid w:val="008B5F9F"/>
    <w:rsid w:val="008C074C"/>
    <w:rsid w:val="008E36AC"/>
    <w:rsid w:val="008F6D5C"/>
    <w:rsid w:val="008F7E8A"/>
    <w:rsid w:val="00907E21"/>
    <w:rsid w:val="00911FC6"/>
    <w:rsid w:val="009174F0"/>
    <w:rsid w:val="00967F98"/>
    <w:rsid w:val="0099701B"/>
    <w:rsid w:val="009A26A7"/>
    <w:rsid w:val="009A48C5"/>
    <w:rsid w:val="009B1222"/>
    <w:rsid w:val="009B4692"/>
    <w:rsid w:val="009C470F"/>
    <w:rsid w:val="009D6658"/>
    <w:rsid w:val="009E4447"/>
    <w:rsid w:val="009F6EA5"/>
    <w:rsid w:val="00A22543"/>
    <w:rsid w:val="00A26824"/>
    <w:rsid w:val="00A33519"/>
    <w:rsid w:val="00A35E62"/>
    <w:rsid w:val="00A94662"/>
    <w:rsid w:val="00AB38DD"/>
    <w:rsid w:val="00AD2BA2"/>
    <w:rsid w:val="00AF2958"/>
    <w:rsid w:val="00B033E0"/>
    <w:rsid w:val="00B2696A"/>
    <w:rsid w:val="00B513BD"/>
    <w:rsid w:val="00B6646D"/>
    <w:rsid w:val="00B6783A"/>
    <w:rsid w:val="00B70E38"/>
    <w:rsid w:val="00B8016B"/>
    <w:rsid w:val="00BA2D0D"/>
    <w:rsid w:val="00BB76FD"/>
    <w:rsid w:val="00BD7FA6"/>
    <w:rsid w:val="00BF7068"/>
    <w:rsid w:val="00C10F5F"/>
    <w:rsid w:val="00C32F34"/>
    <w:rsid w:val="00C67D5B"/>
    <w:rsid w:val="00C73EFC"/>
    <w:rsid w:val="00C834EC"/>
    <w:rsid w:val="00CB3560"/>
    <w:rsid w:val="00CF737B"/>
    <w:rsid w:val="00D532D1"/>
    <w:rsid w:val="00D54431"/>
    <w:rsid w:val="00D616AB"/>
    <w:rsid w:val="00D645DD"/>
    <w:rsid w:val="00D75624"/>
    <w:rsid w:val="00E05B66"/>
    <w:rsid w:val="00E111E6"/>
    <w:rsid w:val="00E43296"/>
    <w:rsid w:val="00E80E80"/>
    <w:rsid w:val="00EA5792"/>
    <w:rsid w:val="00EB70DB"/>
    <w:rsid w:val="00EC43C9"/>
    <w:rsid w:val="00ED269E"/>
    <w:rsid w:val="00EF011E"/>
    <w:rsid w:val="00F1452F"/>
    <w:rsid w:val="00F244EC"/>
    <w:rsid w:val="00F26B75"/>
    <w:rsid w:val="00F33274"/>
    <w:rsid w:val="00F43778"/>
    <w:rsid w:val="00F627F1"/>
    <w:rsid w:val="00F74754"/>
    <w:rsid w:val="00F76D82"/>
    <w:rsid w:val="00FB1316"/>
    <w:rsid w:val="00FB1BDA"/>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73DFE4"/>
  <w15:docId w15:val="{BF7D0DD4-7382-4196-8C77-2165A2FE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4"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rPr>
      <w:rFonts w:ascii="Arial" w:hAnsi="Arial" w:cs="Arial"/>
      <w:sz w:val="20"/>
      <w:szCs w:val="22"/>
      <w:lang w:val="en-CA"/>
    </w:rPr>
  </w:style>
  <w:style w:type="paragraph" w:styleId="Heading1">
    <w:name w:val="heading 1"/>
    <w:basedOn w:val="Normal"/>
    <w:next w:val="BodyText"/>
    <w:link w:val="Heading1Char"/>
    <w:uiPriority w:val="9"/>
    <w:qFormat/>
    <w:pPr>
      <w:keepNext/>
      <w:spacing w:after="240"/>
      <w:outlineLvl w:val="0"/>
    </w:pPr>
    <w:rPr>
      <w:rFonts w:eastAsiaTheme="majorEastAsia" w:cstheme="majorBidi"/>
      <w:b/>
      <w:bCs/>
      <w:caps/>
      <w:szCs w:val="28"/>
    </w:rPr>
  </w:style>
  <w:style w:type="paragraph" w:styleId="Heading2">
    <w:name w:val="heading 2"/>
    <w:basedOn w:val="Normal"/>
    <w:next w:val="BodyText"/>
    <w:link w:val="Heading2Char"/>
    <w:uiPriority w:val="9"/>
    <w:semiHidden/>
    <w:unhideWhenUsed/>
    <w:qFormat/>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pPr>
      <w:keepNext/>
      <w:spacing w:after="240"/>
      <w:outlineLvl w:val="2"/>
    </w:pPr>
    <w:rPr>
      <w:rFonts w:eastAsiaTheme="majorEastAsia" w:cstheme="majorBidi"/>
      <w:b/>
      <w:bCs/>
      <w:i/>
    </w:rPr>
  </w:style>
  <w:style w:type="paragraph" w:styleId="Heading4">
    <w:name w:val="heading 4"/>
    <w:basedOn w:val="Normal"/>
    <w:next w:val="BodyText"/>
    <w:link w:val="Heading4Char"/>
    <w:uiPriority w:val="9"/>
    <w:semiHidden/>
    <w:unhideWhenUsed/>
    <w:qFormat/>
    <w:pPr>
      <w:keepNext/>
      <w:spacing w:after="240"/>
      <w:ind w:left="720"/>
      <w:outlineLvl w:val="3"/>
    </w:pPr>
    <w:rPr>
      <w:rFonts w:eastAsiaTheme="majorEastAsia" w:cstheme="majorBidi"/>
      <w:bCs/>
      <w:i/>
      <w:iCs/>
    </w:rPr>
  </w:style>
  <w:style w:type="paragraph" w:styleId="Heading5">
    <w:name w:val="heading 5"/>
    <w:basedOn w:val="Normal"/>
    <w:next w:val="BodyText"/>
    <w:link w:val="Heading5Char"/>
    <w:uiPriority w:val="9"/>
    <w:semiHidden/>
    <w:unhideWhenUsed/>
    <w:qFormat/>
    <w:pPr>
      <w:keepNext/>
      <w:spacing w:after="240"/>
      <w:ind w:left="720"/>
      <w:outlineLvl w:val="4"/>
    </w:pPr>
    <w:rPr>
      <w:rFonts w:eastAsiaTheme="majorEastAsia" w:cstheme="majorBidi"/>
      <w:u w:val="single"/>
    </w:rPr>
  </w:style>
  <w:style w:type="paragraph" w:styleId="Heading6">
    <w:name w:val="heading 6"/>
    <w:basedOn w:val="Normal"/>
    <w:next w:val="BodyText"/>
    <w:link w:val="Heading6Char"/>
    <w:uiPriority w:val="9"/>
    <w:semiHidden/>
    <w:unhideWhenUsed/>
    <w:qFormat/>
    <w:pPr>
      <w:keepNext/>
      <w:spacing w:after="240"/>
      <w:outlineLvl w:val="5"/>
    </w:pPr>
    <w:rPr>
      <w:rFonts w:eastAsiaTheme="majorEastAsia" w:cstheme="majorBidi"/>
      <w:b/>
      <w:i/>
      <w:iCs/>
    </w:rPr>
  </w:style>
  <w:style w:type="paragraph" w:styleId="Heading7">
    <w:name w:val="heading 7"/>
    <w:basedOn w:val="Normal"/>
    <w:next w:val="BodyText"/>
    <w:link w:val="Heading7Char"/>
    <w:uiPriority w:val="9"/>
    <w:semiHidden/>
    <w:unhideWhenUsed/>
    <w:qFormat/>
    <w:pPr>
      <w:keepNext/>
      <w:spacing w:after="240"/>
      <w:outlineLvl w:val="6"/>
    </w:pPr>
    <w:rPr>
      <w:rFonts w:eastAsiaTheme="majorEastAsia" w:cstheme="majorBidi"/>
      <w:iCs/>
      <w:u w:val="single"/>
    </w:rPr>
  </w:style>
  <w:style w:type="paragraph" w:styleId="Heading8">
    <w:name w:val="heading 8"/>
    <w:basedOn w:val="Normal"/>
    <w:next w:val="BodyText"/>
    <w:link w:val="Heading8Char"/>
    <w:uiPriority w:val="9"/>
    <w:semiHidden/>
    <w:unhideWhenUsed/>
    <w:qFormat/>
    <w:pPr>
      <w:keepNext/>
      <w:spacing w:after="240"/>
      <w:outlineLvl w:val="7"/>
    </w:pPr>
    <w:rPr>
      <w:rFonts w:eastAsiaTheme="majorEastAsia" w:cstheme="majorBidi"/>
      <w:i/>
      <w:szCs w:val="20"/>
    </w:rPr>
  </w:style>
  <w:style w:type="paragraph" w:styleId="Heading9">
    <w:name w:val="heading 9"/>
    <w:basedOn w:val="Normal"/>
    <w:next w:val="BodyText"/>
    <w:link w:val="Heading9Char"/>
    <w:uiPriority w:val="9"/>
    <w:semiHidden/>
    <w:unhideWhenUsed/>
    <w:qFormat/>
    <w:pPr>
      <w:keepNext/>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pPr>
    <w:rPr>
      <w:rFonts w:eastAsia="Times New Roman" w:cs="Times New Roman"/>
    </w:r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heme="majorBidi"/>
      <w:b/>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heme="majorBidi"/>
      <w:bCs/>
      <w:i/>
      <w:iCs/>
      <w:sz w:val="24"/>
    </w:rPr>
  </w:style>
  <w:style w:type="character" w:customStyle="1" w:styleId="Heading5Char">
    <w:name w:val="Heading 5 Char"/>
    <w:basedOn w:val="DefaultParagraphFont"/>
    <w:link w:val="Heading5"/>
    <w:uiPriority w:val="9"/>
    <w:semiHidden/>
    <w:rPr>
      <w:rFonts w:ascii="Times New Roman" w:eastAsiaTheme="majorEastAsia" w:hAnsi="Times New Roman" w:cstheme="majorBidi"/>
      <w:sz w:val="24"/>
      <w:u w:val="single"/>
    </w:rPr>
  </w:style>
  <w:style w:type="character" w:customStyle="1" w:styleId="Heading6Char">
    <w:name w:val="Heading 6 Char"/>
    <w:basedOn w:val="DefaultParagraphFont"/>
    <w:link w:val="Heading6"/>
    <w:uiPriority w:val="9"/>
    <w:semiHidden/>
    <w:rPr>
      <w:rFonts w:ascii="Times New Roman" w:eastAsiaTheme="majorEastAsia" w:hAnsi="Times New Roman" w:cstheme="majorBidi"/>
      <w:b/>
      <w:i/>
      <w:iCs/>
      <w:sz w:val="24"/>
    </w:rPr>
  </w:style>
  <w:style w:type="character" w:customStyle="1" w:styleId="Heading7Char">
    <w:name w:val="Heading 7 Char"/>
    <w:basedOn w:val="DefaultParagraphFont"/>
    <w:link w:val="Heading7"/>
    <w:uiPriority w:val="9"/>
    <w:semiHidden/>
    <w:rPr>
      <w:rFonts w:ascii="Times New Roman" w:eastAsiaTheme="majorEastAsia" w:hAnsi="Times New Roman" w:cstheme="majorBidi"/>
      <w:iCs/>
      <w:sz w:val="24"/>
      <w:u w:val="single"/>
    </w:rPr>
  </w:style>
  <w:style w:type="character" w:customStyle="1" w:styleId="Heading8Char">
    <w:name w:val="Heading 8 Char"/>
    <w:basedOn w:val="DefaultParagraphFont"/>
    <w:link w:val="Heading8"/>
    <w:uiPriority w:val="9"/>
    <w:semiHidden/>
    <w:rPr>
      <w:rFonts w:ascii="Times New Roman" w:eastAsiaTheme="majorEastAsia" w:hAnsi="Times New Roman" w:cstheme="majorBidi"/>
      <w:i/>
      <w:sz w:val="24"/>
      <w:szCs w:val="20"/>
    </w:rPr>
  </w:style>
  <w:style w:type="character" w:customStyle="1" w:styleId="Heading9Char">
    <w:name w:val="Heading 9 Char"/>
    <w:basedOn w:val="DefaultParagraphFont"/>
    <w:link w:val="Heading9"/>
    <w:uiPriority w:val="9"/>
    <w:semiHidden/>
    <w:rPr>
      <w:rFonts w:ascii="Times New Roman" w:eastAsiaTheme="majorEastAsia" w:hAnsi="Times New Roman" w:cstheme="majorBidi"/>
      <w:iCs/>
      <w:sz w:val="24"/>
      <w:szCs w:val="20"/>
    </w:rPr>
  </w:style>
  <w:style w:type="numbering" w:styleId="ArticleSection">
    <w:name w:val="Outline List 3"/>
    <w:basedOn w:val="NoList"/>
    <w:uiPriority w:val="99"/>
    <w:semiHidden/>
    <w:unhideWhenUsed/>
    <w:pPr>
      <w:numPr>
        <w:numId w:val="4"/>
      </w:numPr>
    </w:pPr>
  </w:style>
  <w:style w:type="paragraph" w:styleId="BodyTextFirstIndent">
    <w:name w:val="Body Text First Indent"/>
    <w:basedOn w:val="BodyText"/>
    <w:link w:val="BodyTextFirstIndentChar"/>
    <w:unhideWhenUsed/>
    <w:pPr>
      <w:ind w:firstLine="72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4"/>
    </w:rPr>
  </w:style>
  <w:style w:type="paragraph" w:styleId="BodyTextIndent">
    <w:name w:val="Body Text Indent"/>
    <w:basedOn w:val="Normal"/>
    <w:link w:val="BodyTextIndentChar"/>
    <w:unhideWhenUsed/>
    <w:pPr>
      <w:ind w:left="720"/>
    </w:pPr>
  </w:style>
  <w:style w:type="character" w:customStyle="1" w:styleId="BodyTextIndentChar">
    <w:name w:val="Body Text Indent Char"/>
    <w:basedOn w:val="DefaultParagraphFont"/>
    <w:link w:val="BodyTextIndent"/>
  </w:style>
  <w:style w:type="paragraph" w:styleId="BodyTextFirstIndent2">
    <w:name w:val="Body Text First Indent 2"/>
    <w:basedOn w:val="BodyTextIndent"/>
    <w:link w:val="BodyTextFirstIndent2Char"/>
    <w:uiPriority w:val="99"/>
    <w:semiHidden/>
    <w:unhideWhenUsed/>
    <w:pPr>
      <w:ind w:firstLine="720"/>
    </w:pPr>
  </w:style>
  <w:style w:type="character" w:customStyle="1" w:styleId="BodyTextFirstIndent2Char">
    <w:name w:val="Body Text First Indent 2 Char"/>
    <w:basedOn w:val="BodyTextIndentChar"/>
    <w:link w:val="BodyTextFirstIndent2"/>
    <w:uiPriority w:val="99"/>
    <w:semiHidden/>
    <w:rPr>
      <w:rFonts w:ascii="Times New Roman" w:hAnsi="Times New Roman"/>
      <w:sz w:val="24"/>
    </w:rPr>
  </w:style>
  <w:style w:type="paragraph" w:styleId="Caption">
    <w:name w:val="caption"/>
    <w:basedOn w:val="Normal"/>
    <w:next w:val="Normal"/>
    <w:uiPriority w:val="35"/>
    <w:semiHidden/>
    <w:unhideWhenUsed/>
    <w:qFormat/>
    <w:rPr>
      <w:b/>
      <w:bCs/>
      <w:szCs w:val="18"/>
    </w:rPr>
  </w:style>
  <w:style w:type="paragraph" w:customStyle="1" w:styleId="Centered">
    <w:name w:val="Centered"/>
    <w:basedOn w:val="Normal"/>
    <w:next w:val="BodyText"/>
    <w:uiPriority w:val="2"/>
    <w:qFormat/>
    <w:pPr>
      <w:spacing w:after="240" w:line="240" w:lineRule="exact"/>
      <w:jc w:val="center"/>
    </w:pPr>
  </w:style>
  <w:style w:type="paragraph" w:styleId="EnvelopeAddress">
    <w:name w:val="envelope address"/>
    <w:basedOn w:val="Normal"/>
    <w:uiPriority w:val="99"/>
    <w:semiHidden/>
    <w:unhideWhenUsed/>
    <w:qFormat/>
    <w:pPr>
      <w:framePr w:w="5760" w:h="2160" w:hRule="exact" w:hSpace="187" w:vSpace="187" w:wrap="around" w:vAnchor="page" w:hAnchor="page" w:x="6481" w:y="3068"/>
    </w:pPr>
    <w:rPr>
      <w:rFonts w:eastAsiaTheme="majorEastAsia" w:cstheme="majorBidi"/>
    </w:rPr>
  </w:style>
  <w:style w:type="paragraph" w:styleId="Footer">
    <w:name w:val="footer"/>
    <w:basedOn w:val="Normal"/>
    <w:link w:val="FooterChar"/>
    <w:uiPriority w:val="99"/>
    <w:unhideWhenUsed/>
    <w:qFormat/>
    <w:pPr>
      <w:tabs>
        <w:tab w:val="center" w:pos="4680"/>
        <w:tab w:val="right" w:pos="9360"/>
      </w:tabs>
    </w:pPr>
  </w:style>
  <w:style w:type="paragraph" w:customStyle="1" w:styleId="DeliveryPhrase">
    <w:name w:val="Delivery Phrase"/>
    <w:basedOn w:val="Normal"/>
    <w:next w:val="BodyText"/>
    <w:uiPriority w:val="3"/>
    <w:qFormat/>
    <w:pPr>
      <w:spacing w:before="240" w:after="240"/>
    </w:pPr>
    <w:rPr>
      <w:b/>
      <w:caps/>
    </w:rPr>
  </w:style>
  <w:style w:type="character" w:customStyle="1" w:styleId="FooterChar">
    <w:name w:val="Footer Char"/>
    <w:basedOn w:val="DefaultParagraphFont"/>
    <w:link w:val="Footer"/>
    <w:uiPriority w:val="99"/>
    <w:rPr>
      <w:rFonts w:ascii="Times New Roman" w:hAnsi="Times New Roman"/>
      <w:sz w:val="20"/>
    </w:rPr>
  </w:style>
  <w:style w:type="paragraph" w:styleId="FootnoteText">
    <w:name w:val="footnote text"/>
    <w:basedOn w:val="Normal"/>
    <w:link w:val="FootnoteTextChar"/>
    <w:uiPriority w:val="99"/>
    <w:semiHidden/>
    <w:unhideWhenUsed/>
    <w:pPr>
      <w:ind w:left="720" w:hanging="720"/>
    </w:pPr>
    <w:rPr>
      <w:sz w:val="16"/>
      <w:szCs w:val="20"/>
    </w:rPr>
  </w:style>
  <w:style w:type="character" w:customStyle="1" w:styleId="FootnoteTextChar">
    <w:name w:val="Footnote Text Char"/>
    <w:basedOn w:val="DefaultParagraphFont"/>
    <w:link w:val="FootnoteText"/>
    <w:uiPriority w:val="99"/>
    <w:semiHidden/>
    <w:rPr>
      <w:rFonts w:ascii="Times New Roman" w:hAnsi="Times New Roman"/>
      <w:sz w:val="16"/>
      <w:szCs w:val="20"/>
    </w:rPr>
  </w:style>
  <w:style w:type="paragraph" w:customStyle="1" w:styleId="LetterDate">
    <w:name w:val="Letter Date"/>
    <w:basedOn w:val="Normal"/>
    <w:next w:val="BodyText"/>
    <w:uiPriority w:val="11"/>
    <w:qFormat/>
  </w:style>
  <w:style w:type="paragraph" w:customStyle="1" w:styleId="LetterClosing">
    <w:name w:val="LetterClosing"/>
    <w:basedOn w:val="Normal"/>
    <w:next w:val="Normal"/>
    <w:uiPriority w:val="11"/>
    <w:qFormat/>
  </w:style>
  <w:style w:type="paragraph" w:customStyle="1" w:styleId="HeaderNumbers">
    <w:name w:val="HeaderNumbers"/>
    <w:basedOn w:val="Normal"/>
    <w:link w:val="HeaderNumbersChar"/>
    <w:uiPriority w:val="10"/>
    <w:semiHidden/>
    <w:unhideWhenUsed/>
    <w:qFormat/>
    <w:pPr>
      <w:spacing w:after="720" w:line="480" w:lineRule="exact"/>
      <w:ind w:right="144"/>
    </w:pPr>
  </w:style>
  <w:style w:type="character" w:customStyle="1" w:styleId="HeaderNumbersChar">
    <w:name w:val="HeaderNumbers Char"/>
    <w:basedOn w:val="DefaultParagraphFont"/>
    <w:link w:val="HeaderNumbers"/>
    <w:uiPriority w:val="10"/>
    <w:semiHidden/>
    <w:rPr>
      <w:rFonts w:ascii="Times New Roman" w:hAnsi="Times New Roman"/>
      <w:sz w:val="24"/>
    </w:rPr>
  </w:style>
  <w:style w:type="paragraph" w:customStyle="1" w:styleId="PleadingSignature">
    <w:name w:val="Pleading Signature"/>
    <w:basedOn w:val="Normal"/>
    <w:uiPriority w:val="13"/>
    <w:qFormat/>
    <w:pPr>
      <w:keepNext/>
      <w:keepLines/>
      <w:widowControl w:val="0"/>
      <w:tabs>
        <w:tab w:val="left" w:pos="5040"/>
        <w:tab w:val="right" w:pos="9360"/>
      </w:tabs>
      <w:spacing w:line="240" w:lineRule="exact"/>
      <w:ind w:left="5040"/>
    </w:pPr>
  </w:style>
  <w:style w:type="paragraph" w:styleId="Quote">
    <w:name w:val="Quote"/>
    <w:basedOn w:val="Normal"/>
    <w:next w:val="BodyText"/>
    <w:link w:val="QuoteChar"/>
    <w:uiPriority w:val="13"/>
    <w:qFormat/>
    <w:pPr>
      <w:spacing w:after="240"/>
      <w:ind w:left="720" w:right="720"/>
    </w:pPr>
    <w:rPr>
      <w:iCs/>
    </w:rPr>
  </w:style>
  <w:style w:type="character" w:customStyle="1" w:styleId="QuoteChar">
    <w:name w:val="Quote Char"/>
    <w:basedOn w:val="DefaultParagraphFont"/>
    <w:link w:val="Quote"/>
    <w:uiPriority w:val="13"/>
    <w:rPr>
      <w:rFonts w:ascii="Times New Roman" w:hAnsi="Times New Roman"/>
      <w:iCs/>
      <w:sz w:val="24"/>
    </w:rPr>
  </w:style>
  <w:style w:type="paragraph" w:styleId="TOAHeading">
    <w:name w:val="toa heading"/>
    <w:basedOn w:val="Normal"/>
    <w:next w:val="Normal"/>
    <w:uiPriority w:val="99"/>
    <w:qFormat/>
    <w:pPr>
      <w:keepNext/>
      <w:widowControl w:val="0"/>
      <w:spacing w:before="120" w:after="120" w:line="240" w:lineRule="exact"/>
      <w:jc w:val="center"/>
    </w:pPr>
    <w:rPr>
      <w:rFonts w:eastAsiaTheme="majorEastAsia" w:cstheme="majorBidi"/>
      <w:b/>
      <w:bCs/>
      <w:caps/>
    </w:rPr>
  </w:style>
  <w:style w:type="paragraph" w:styleId="TOC1">
    <w:name w:val="toc 1"/>
    <w:basedOn w:val="Normal"/>
    <w:next w:val="TOC2"/>
    <w:uiPriority w:val="39"/>
    <w:qFormat/>
    <w:pPr>
      <w:keepLines/>
      <w:tabs>
        <w:tab w:val="right" w:leader="dot" w:pos="9288"/>
      </w:tabs>
      <w:spacing w:after="120"/>
    </w:pPr>
    <w:rPr>
      <w:b/>
      <w:caps/>
    </w:rPr>
  </w:style>
  <w:style w:type="paragraph" w:styleId="TOC2">
    <w:name w:val="toc 2"/>
    <w:basedOn w:val="Normal"/>
    <w:next w:val="TOC3"/>
    <w:uiPriority w:val="39"/>
    <w:qFormat/>
    <w:pPr>
      <w:keepLines/>
      <w:tabs>
        <w:tab w:val="right" w:leader="dot" w:pos="9288"/>
      </w:tabs>
      <w:spacing w:after="120"/>
      <w:ind w:left="1080" w:right="720" w:hanging="720"/>
    </w:pPr>
  </w:style>
  <w:style w:type="paragraph" w:styleId="TOC3">
    <w:name w:val="toc 3"/>
    <w:basedOn w:val="Normal"/>
    <w:next w:val="TOC4"/>
    <w:uiPriority w:val="39"/>
    <w:pPr>
      <w:keepLines/>
      <w:tabs>
        <w:tab w:val="right" w:leader="dot" w:pos="9288"/>
      </w:tabs>
      <w:spacing w:after="120"/>
      <w:ind w:left="1440" w:right="720" w:hanging="720"/>
    </w:pPr>
  </w:style>
  <w:style w:type="paragraph" w:styleId="TOC4">
    <w:name w:val="toc 4"/>
    <w:basedOn w:val="Normal"/>
    <w:next w:val="Normal"/>
    <w:uiPriority w:val="39"/>
    <w:pPr>
      <w:keepLines/>
      <w:tabs>
        <w:tab w:val="right" w:leader="dot" w:pos="9288"/>
      </w:tabs>
      <w:spacing w:after="120"/>
      <w:ind w:left="1800" w:right="720" w:hanging="720"/>
    </w:pPr>
  </w:style>
  <w:style w:type="paragraph" w:styleId="TOC8">
    <w:name w:val="toc 8"/>
    <w:basedOn w:val="Normal"/>
    <w:next w:val="Normal"/>
    <w:uiPriority w:val="39"/>
    <w:semiHidden/>
    <w:unhideWhenUsed/>
    <w:pPr>
      <w:spacing w:after="100"/>
      <w:ind w:left="1680"/>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numbering" w:styleId="111111">
    <w:name w:val="Outline List 2"/>
    <w:basedOn w:val="NoList"/>
    <w:semiHidden/>
    <w:pPr>
      <w:numPr>
        <w:numId w:val="5"/>
      </w:numPr>
    </w:pPr>
  </w:style>
  <w:style w:type="numbering" w:styleId="1ai">
    <w:name w:val="Outline List 1"/>
    <w:basedOn w:val="NoList"/>
    <w:semiHidden/>
    <w:pPr>
      <w:numPr>
        <w:numId w:val="7"/>
      </w:numPr>
    </w:pPr>
  </w:style>
  <w:style w:type="paragraph" w:styleId="BodyText2">
    <w:name w:val="Body Text 2"/>
    <w:basedOn w:val="Normal"/>
    <w:link w:val="BodyText2Char"/>
    <w:semiHidden/>
    <w:pPr>
      <w:spacing w:after="240" w:line="480" w:lineRule="auto"/>
    </w:pPr>
    <w:rPr>
      <w:rFonts w:eastAsia="Times New Roman" w:cs="Times New Roman"/>
    </w:rPr>
  </w:style>
  <w:style w:type="character" w:customStyle="1" w:styleId="BodyText2Char">
    <w:name w:val="Body Text 2 Char"/>
    <w:basedOn w:val="DefaultParagraphFont"/>
    <w:link w:val="BodyText2"/>
    <w:semiHidden/>
    <w:rPr>
      <w:rFonts w:ascii="Times New Roman" w:eastAsia="Times New Roman" w:hAnsi="Times New Roman" w:cs="Times New Roman"/>
      <w:sz w:val="24"/>
      <w:szCs w:val="24"/>
    </w:rPr>
  </w:style>
  <w:style w:type="paragraph" w:styleId="BodyText3">
    <w:name w:val="Body Text 3"/>
    <w:basedOn w:val="Normal"/>
    <w:link w:val="BodyText3Char"/>
    <w:semiHidden/>
    <w:pPr>
      <w:spacing w:after="240"/>
    </w:pPr>
    <w:rPr>
      <w:rFonts w:eastAsia="Times New Roman" w:cs="Times New Roman"/>
      <w:sz w:val="16"/>
      <w:szCs w:val="16"/>
    </w:rPr>
  </w:style>
  <w:style w:type="character" w:customStyle="1" w:styleId="BodyText3Char">
    <w:name w:val="Body Text 3 Char"/>
    <w:basedOn w:val="DefaultParagraphFont"/>
    <w:link w:val="BodyText3"/>
    <w:semiHidden/>
    <w:rPr>
      <w:rFonts w:ascii="Times New Roman" w:eastAsia="Times New Roman" w:hAnsi="Times New Roman" w:cs="Times New Roman"/>
      <w:sz w:val="16"/>
      <w:szCs w:val="16"/>
    </w:rPr>
  </w:style>
  <w:style w:type="paragraph" w:styleId="BodyTextIndent2">
    <w:name w:val="Body Text Indent 2"/>
    <w:basedOn w:val="Normal"/>
    <w:link w:val="BodyTextIndent2Char"/>
    <w:semiHidden/>
    <w:pPr>
      <w:spacing w:after="240" w:line="480" w:lineRule="auto"/>
      <w:ind w:left="720"/>
    </w:pPr>
    <w:rPr>
      <w:rFonts w:eastAsia="Times New Roman" w:cs="Times New Roman"/>
    </w:rPr>
  </w:style>
  <w:style w:type="character" w:customStyle="1" w:styleId="BodyTextIndent2Char">
    <w:name w:val="Body Text Indent 2 Char"/>
    <w:basedOn w:val="DefaultParagraphFont"/>
    <w:link w:val="BodyTextIndent2"/>
    <w:semiHidden/>
    <w:rPr>
      <w:rFonts w:ascii="Times New Roman" w:eastAsia="Times New Roman" w:hAnsi="Times New Roman" w:cs="Times New Roman"/>
      <w:sz w:val="24"/>
      <w:szCs w:val="24"/>
    </w:rPr>
  </w:style>
  <w:style w:type="paragraph" w:styleId="BodyTextIndent3">
    <w:name w:val="Body Text Indent 3"/>
    <w:basedOn w:val="Normal"/>
    <w:link w:val="BodyTextIndent3Char"/>
    <w:semiHidden/>
    <w:pPr>
      <w:spacing w:after="240"/>
      <w:ind w:left="720"/>
    </w:pPr>
    <w:rPr>
      <w:rFonts w:eastAsia="Times New Roman" w:cs="Times New Roman"/>
      <w:sz w:val="16"/>
      <w:szCs w:val="16"/>
    </w:rPr>
  </w:style>
  <w:style w:type="character" w:customStyle="1" w:styleId="BodyTextIndent3Char">
    <w:name w:val="Body Text Indent 3 Char"/>
    <w:basedOn w:val="DefaultParagraphFont"/>
    <w:link w:val="BodyTextIndent3"/>
    <w:semiHidden/>
    <w:rPr>
      <w:rFonts w:ascii="Times New Roman" w:eastAsia="Times New Roman" w:hAnsi="Times New Roman" w:cs="Times New Roman"/>
      <w:sz w:val="16"/>
      <w:szCs w:val="16"/>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paragraph" w:styleId="TOC9">
    <w:name w:val="toc 9"/>
    <w:basedOn w:val="Normal"/>
    <w:next w:val="Normal"/>
    <w:uiPriority w:val="39"/>
    <w:semiHidden/>
    <w:unhideWhenUsed/>
    <w:pPr>
      <w:spacing w:after="100"/>
      <w:ind w:left="1920"/>
    </w:pPr>
  </w:style>
  <w:style w:type="paragraph" w:styleId="TOC5">
    <w:name w:val="toc 5"/>
    <w:basedOn w:val="Normal"/>
    <w:next w:val="Normal"/>
    <w:uiPriority w:val="39"/>
    <w:semiHidden/>
    <w:unhideWhenUsed/>
    <w:pPr>
      <w:spacing w:after="100"/>
      <w:ind w:left="960"/>
    </w:pPr>
  </w:style>
  <w:style w:type="paragraph" w:styleId="TOC6">
    <w:name w:val="toc 6"/>
    <w:basedOn w:val="Normal"/>
    <w:next w:val="Normal"/>
    <w:uiPriority w:val="39"/>
    <w:semiHidden/>
    <w:unhideWhenUsed/>
    <w:pPr>
      <w:spacing w:after="100"/>
      <w:ind w:left="1200"/>
    </w:pPr>
  </w:style>
  <w:style w:type="paragraph" w:styleId="TOC7">
    <w:name w:val="toc 7"/>
    <w:basedOn w:val="Normal"/>
    <w:next w:val="Normal"/>
    <w:uiPriority w:val="39"/>
    <w:semiHidden/>
    <w:unhideWhenUsed/>
    <w:pPr>
      <w:spacing w:after="100"/>
      <w:ind w:left="1440"/>
    </w:pPr>
  </w:style>
  <w:style w:type="paragraph" w:customStyle="1" w:styleId="Blainco2Numbering">
    <w:name w:val="Blainco #2 Numbering"/>
    <w:basedOn w:val="Normal"/>
    <w:pPr>
      <w:numPr>
        <w:numId w:val="19"/>
      </w:numPr>
      <w:jc w:val="both"/>
    </w:pPr>
    <w:rPr>
      <w:rFonts w:eastAsia="Times New Roman" w:cs="Times New Roman"/>
      <w:sz w:val="22"/>
      <w:szCs w:val="20"/>
    </w:rPr>
  </w:style>
  <w:style w:type="paragraph" w:customStyle="1" w:styleId="MacPacTrailer">
    <w:name w:val="MacPac Trailer"/>
    <w:pPr>
      <w:widowControl w:val="0"/>
      <w:spacing w:after="0" w:line="200" w:lineRule="exact"/>
    </w:pPr>
    <w:rPr>
      <w:rFonts w:eastAsia="Times New Roman" w:cs="Times New Roman"/>
      <w:sz w:val="16"/>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 w:type="character" w:styleId="Strong">
    <w:name w:val="Strong"/>
    <w:basedOn w:val="DefaultParagraphFont"/>
    <w:uiPriority w:val="22"/>
    <w:qFormat/>
    <w:rPr>
      <w:b/>
      <w:bCs/>
    </w:rPr>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cs="Arial"/>
      <w:b/>
      <w:bCs/>
      <w:sz w:val="20"/>
      <w:szCs w:val="20"/>
    </w:rPr>
  </w:style>
  <w:style w:type="character" w:styleId="Hyperlink">
    <w:name w:val="Hyperlink"/>
    <w:basedOn w:val="DefaultParagraphFont"/>
    <w:uiPriority w:val="99"/>
    <w:unhideWhenUsed/>
    <w:rPr>
      <w:color w:val="0000FF" w:themeColor="hyperlink"/>
      <w:u w:val="single"/>
    </w:rPr>
  </w:style>
  <w:style w:type="paragraph" w:customStyle="1" w:styleId="Pa7">
    <w:name w:val="Pa7"/>
    <w:basedOn w:val="Normal"/>
    <w:next w:val="Normal"/>
    <w:uiPriority w:val="99"/>
    <w:pPr>
      <w:autoSpaceDE w:val="0"/>
      <w:autoSpaceDN w:val="0"/>
      <w:adjustRightInd w:val="0"/>
      <w:spacing w:line="241" w:lineRule="atLeast"/>
    </w:pPr>
    <w:rPr>
      <w:rFonts w:ascii="Weissenhof Grotesk Bold" w:hAnsi="Weissenhof Grotesk Bold" w:cstheme="minorBidi"/>
      <w:sz w:val="24"/>
      <w:szCs w:val="24"/>
    </w:rPr>
  </w:style>
  <w:style w:type="character" w:customStyle="1" w:styleId="A7">
    <w:name w:val="A7"/>
    <w:uiPriority w:val="99"/>
    <w:rPr>
      <w:rFonts w:cs="Weissenhof Grotesk Bold"/>
      <w:color w:val="2D3338"/>
      <w:sz w:val="20"/>
      <w:szCs w:val="20"/>
    </w:rPr>
  </w:style>
  <w:style w:type="character" w:customStyle="1" w:styleId="A14">
    <w:name w:val="A14"/>
    <w:uiPriority w:val="99"/>
    <w:rPr>
      <w:rFonts w:cs="Weissenhof Grotesk Bold"/>
      <w:color w:val="2D3338"/>
      <w:sz w:val="11"/>
      <w:szCs w:val="11"/>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5">
    <w:name w:val="A15"/>
    <w:uiPriority w:val="99"/>
    <w:rPr>
      <w:rFonts w:cs="Weissenhof Grotesk Italic"/>
      <w:i/>
      <w:iCs/>
      <w:color w:val="2D3338"/>
      <w:sz w:val="9"/>
      <w:szCs w:val="9"/>
    </w:rPr>
  </w:style>
  <w:style w:type="character" w:customStyle="1" w:styleId="A10">
    <w:name w:val="A10"/>
    <w:uiPriority w:val="99"/>
    <w:rPr>
      <w:rFonts w:cs="Weissenhof Grotesk Italic"/>
      <w:i/>
      <w:iCs/>
      <w:color w:val="2D3338"/>
      <w:sz w:val="16"/>
      <w:szCs w:val="16"/>
    </w:rPr>
  </w:style>
  <w:style w:type="character" w:customStyle="1" w:styleId="xn-location">
    <w:name w:val="xn-location"/>
    <w:basedOn w:val="DefaultParagraphFont"/>
  </w:style>
  <w:style w:type="character" w:styleId="PlaceholderText">
    <w:name w:val="Placeholder Text"/>
    <w:basedOn w:val="DefaultParagraphFont"/>
    <w:uiPriority w:val="99"/>
    <w:semiHidden/>
    <w:rPr>
      <w:color w:val="808080"/>
    </w:rPr>
  </w:style>
  <w:style w:type="character" w:customStyle="1" w:styleId="DocID">
    <w:name w:val="DocID"/>
    <w:basedOn w:val="DefaultParagraphFont"/>
    <w:rsid w:val="009B4692"/>
    <w:rPr>
      <w:rFonts w:ascii="Arial" w:eastAsia="Times New Roman" w:hAnsi="Arial" w:cs="Arial"/>
      <w:b w:val="0"/>
      <w:i w:val="0"/>
      <w:caps w:val="0"/>
      <w:vanish w:val="0"/>
      <w:color w:val="000000"/>
      <w:sz w:val="14"/>
      <w:u w:val="none"/>
    </w:rPr>
  </w:style>
  <w:style w:type="paragraph" w:customStyle="1" w:styleId="Notes">
    <w:name w:val="Notes"/>
    <w:aliases w:val="n,note number"/>
    <w:basedOn w:val="Normal"/>
    <w:rsid w:val="007C370C"/>
    <w:pPr>
      <w:numPr>
        <w:numId w:val="20"/>
      </w:numPr>
      <w:spacing w:after="240"/>
      <w:contextualSpacing/>
      <w:jc w:val="both"/>
    </w:pPr>
    <w:rPr>
      <w:rFonts w:ascii="Times New Roman" w:eastAsia="Times New Roman" w:hAnsi="Times New Roman" w:cs="Times New Roman"/>
      <w:sz w:val="16"/>
      <w:szCs w:val="20"/>
    </w:rPr>
  </w:style>
  <w:style w:type="paragraph" w:styleId="NoteHeading">
    <w:name w:val="Note Heading"/>
    <w:basedOn w:val="Normal"/>
    <w:next w:val="Normal"/>
    <w:link w:val="NoteHeadingChar"/>
    <w:rsid w:val="007C370C"/>
    <w:pPr>
      <w:jc w:val="both"/>
    </w:pPr>
    <w:rPr>
      <w:rFonts w:ascii="Times New Roman" w:eastAsia="Times New Roman" w:hAnsi="Times New Roman" w:cs="Times New Roman"/>
      <w:b/>
      <w:sz w:val="18"/>
      <w:szCs w:val="24"/>
    </w:rPr>
  </w:style>
  <w:style w:type="character" w:customStyle="1" w:styleId="NoteHeadingChar">
    <w:name w:val="Note Heading Char"/>
    <w:basedOn w:val="DefaultParagraphFont"/>
    <w:link w:val="NoteHeading"/>
    <w:rsid w:val="007C370C"/>
    <w:rPr>
      <w:rFonts w:eastAsia="Times New Roman" w:cs="Times New Roman"/>
      <w:b/>
      <w:sz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577140">
      <w:bodyDiv w:val="1"/>
      <w:marLeft w:val="0"/>
      <w:marRight w:val="0"/>
      <w:marTop w:val="0"/>
      <w:marBottom w:val="0"/>
      <w:divBdr>
        <w:top w:val="none" w:sz="0" w:space="0" w:color="auto"/>
        <w:left w:val="none" w:sz="0" w:space="0" w:color="auto"/>
        <w:bottom w:val="none" w:sz="0" w:space="0" w:color="auto"/>
        <w:right w:val="none" w:sz="0" w:space="0" w:color="auto"/>
      </w:divBdr>
    </w:div>
    <w:div w:id="758914422">
      <w:bodyDiv w:val="1"/>
      <w:marLeft w:val="0"/>
      <w:marRight w:val="0"/>
      <w:marTop w:val="0"/>
      <w:marBottom w:val="0"/>
      <w:divBdr>
        <w:top w:val="none" w:sz="0" w:space="0" w:color="auto"/>
        <w:left w:val="none" w:sz="0" w:space="0" w:color="auto"/>
        <w:bottom w:val="none" w:sz="0" w:space="0" w:color="auto"/>
        <w:right w:val="none" w:sz="0" w:space="0" w:color="auto"/>
      </w:divBdr>
    </w:div>
    <w:div w:id="934944029">
      <w:bodyDiv w:val="1"/>
      <w:marLeft w:val="0"/>
      <w:marRight w:val="0"/>
      <w:marTop w:val="0"/>
      <w:marBottom w:val="0"/>
      <w:divBdr>
        <w:top w:val="none" w:sz="0" w:space="0" w:color="auto"/>
        <w:left w:val="none" w:sz="0" w:space="0" w:color="auto"/>
        <w:bottom w:val="none" w:sz="0" w:space="0" w:color="auto"/>
        <w:right w:val="none" w:sz="0" w:space="0" w:color="auto"/>
      </w:divBdr>
      <w:divsChild>
        <w:div w:id="1807163492">
          <w:marLeft w:val="0"/>
          <w:marRight w:val="0"/>
          <w:marTop w:val="0"/>
          <w:marBottom w:val="0"/>
          <w:divBdr>
            <w:top w:val="none" w:sz="0" w:space="0" w:color="auto"/>
            <w:left w:val="none" w:sz="0" w:space="0" w:color="auto"/>
            <w:bottom w:val="none" w:sz="0" w:space="0" w:color="auto"/>
            <w:right w:val="none" w:sz="0" w:space="0" w:color="auto"/>
          </w:divBdr>
          <w:divsChild>
            <w:div w:id="399838920">
              <w:marLeft w:val="0"/>
              <w:marRight w:val="0"/>
              <w:marTop w:val="0"/>
              <w:marBottom w:val="0"/>
              <w:divBdr>
                <w:top w:val="none" w:sz="0" w:space="0" w:color="auto"/>
                <w:left w:val="none" w:sz="0" w:space="0" w:color="auto"/>
                <w:bottom w:val="none" w:sz="0" w:space="0" w:color="auto"/>
                <w:right w:val="none" w:sz="0" w:space="0" w:color="auto"/>
              </w:divBdr>
            </w:div>
            <w:div w:id="213204138">
              <w:marLeft w:val="0"/>
              <w:marRight w:val="0"/>
              <w:marTop w:val="0"/>
              <w:marBottom w:val="0"/>
              <w:divBdr>
                <w:top w:val="none" w:sz="0" w:space="0" w:color="auto"/>
                <w:left w:val="none" w:sz="0" w:space="0" w:color="auto"/>
                <w:bottom w:val="none" w:sz="0" w:space="0" w:color="auto"/>
                <w:right w:val="none" w:sz="0" w:space="0" w:color="auto"/>
              </w:divBdr>
            </w:div>
            <w:div w:id="1430276463">
              <w:marLeft w:val="0"/>
              <w:marRight w:val="0"/>
              <w:marTop w:val="0"/>
              <w:marBottom w:val="0"/>
              <w:divBdr>
                <w:top w:val="none" w:sz="0" w:space="0" w:color="auto"/>
                <w:left w:val="none" w:sz="0" w:space="0" w:color="auto"/>
                <w:bottom w:val="none" w:sz="0" w:space="0" w:color="auto"/>
                <w:right w:val="none" w:sz="0" w:space="0" w:color="auto"/>
              </w:divBdr>
            </w:div>
            <w:div w:id="12084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2418">
      <w:bodyDiv w:val="1"/>
      <w:marLeft w:val="0"/>
      <w:marRight w:val="0"/>
      <w:marTop w:val="0"/>
      <w:marBottom w:val="0"/>
      <w:divBdr>
        <w:top w:val="none" w:sz="0" w:space="0" w:color="auto"/>
        <w:left w:val="none" w:sz="0" w:space="0" w:color="auto"/>
        <w:bottom w:val="none" w:sz="0" w:space="0" w:color="auto"/>
        <w:right w:val="none" w:sz="0" w:space="0" w:color="auto"/>
      </w:divBdr>
      <w:divsChild>
        <w:div w:id="593635843">
          <w:marLeft w:val="0"/>
          <w:marRight w:val="0"/>
          <w:marTop w:val="0"/>
          <w:marBottom w:val="0"/>
          <w:divBdr>
            <w:top w:val="none" w:sz="0" w:space="0" w:color="auto"/>
            <w:left w:val="none" w:sz="0" w:space="0" w:color="auto"/>
            <w:bottom w:val="none" w:sz="0" w:space="0" w:color="auto"/>
            <w:right w:val="none" w:sz="0" w:space="0" w:color="auto"/>
          </w:divBdr>
          <w:divsChild>
            <w:div w:id="711611385">
              <w:marLeft w:val="-225"/>
              <w:marRight w:val="-225"/>
              <w:marTop w:val="0"/>
              <w:marBottom w:val="0"/>
              <w:divBdr>
                <w:top w:val="none" w:sz="0" w:space="0" w:color="auto"/>
                <w:left w:val="none" w:sz="0" w:space="0" w:color="auto"/>
                <w:bottom w:val="none" w:sz="0" w:space="0" w:color="auto"/>
                <w:right w:val="none" w:sz="0" w:space="0" w:color="auto"/>
              </w:divBdr>
              <w:divsChild>
                <w:div w:id="15527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031040">
      <w:bodyDiv w:val="1"/>
      <w:marLeft w:val="0"/>
      <w:marRight w:val="0"/>
      <w:marTop w:val="0"/>
      <w:marBottom w:val="0"/>
      <w:divBdr>
        <w:top w:val="none" w:sz="0" w:space="0" w:color="auto"/>
        <w:left w:val="none" w:sz="0" w:space="0" w:color="auto"/>
        <w:bottom w:val="none" w:sz="0" w:space="0" w:color="auto"/>
        <w:right w:val="none" w:sz="0" w:space="0" w:color="auto"/>
      </w:divBdr>
    </w:div>
    <w:div w:id="1150903817">
      <w:bodyDiv w:val="1"/>
      <w:marLeft w:val="0"/>
      <w:marRight w:val="0"/>
      <w:marTop w:val="0"/>
      <w:marBottom w:val="0"/>
      <w:divBdr>
        <w:top w:val="none" w:sz="0" w:space="0" w:color="auto"/>
        <w:left w:val="none" w:sz="0" w:space="0" w:color="auto"/>
        <w:bottom w:val="none" w:sz="0" w:space="0" w:color="auto"/>
        <w:right w:val="none" w:sz="0" w:space="0" w:color="auto"/>
      </w:divBdr>
      <w:divsChild>
        <w:div w:id="1387950843">
          <w:marLeft w:val="0"/>
          <w:marRight w:val="0"/>
          <w:marTop w:val="150"/>
          <w:marBottom w:val="0"/>
          <w:divBdr>
            <w:top w:val="none" w:sz="0" w:space="0" w:color="auto"/>
            <w:left w:val="none" w:sz="0" w:space="0" w:color="auto"/>
            <w:bottom w:val="none" w:sz="0" w:space="0" w:color="auto"/>
            <w:right w:val="none" w:sz="0" w:space="0" w:color="auto"/>
          </w:divBdr>
          <w:divsChild>
            <w:div w:id="1332878780">
              <w:marLeft w:val="0"/>
              <w:marRight w:val="0"/>
              <w:marTop w:val="0"/>
              <w:marBottom w:val="0"/>
              <w:divBdr>
                <w:top w:val="none" w:sz="0" w:space="0" w:color="auto"/>
                <w:left w:val="none" w:sz="0" w:space="0" w:color="auto"/>
                <w:bottom w:val="none" w:sz="0" w:space="0" w:color="auto"/>
                <w:right w:val="none" w:sz="0" w:space="0" w:color="auto"/>
              </w:divBdr>
              <w:divsChild>
                <w:div w:id="684675206">
                  <w:marLeft w:val="0"/>
                  <w:marRight w:val="0"/>
                  <w:marTop w:val="0"/>
                  <w:marBottom w:val="0"/>
                  <w:divBdr>
                    <w:top w:val="none" w:sz="0" w:space="0" w:color="auto"/>
                    <w:left w:val="none" w:sz="0" w:space="0" w:color="auto"/>
                    <w:bottom w:val="none" w:sz="0" w:space="0" w:color="auto"/>
                    <w:right w:val="none" w:sz="0" w:space="0" w:color="auto"/>
                  </w:divBdr>
                  <w:divsChild>
                    <w:div w:id="653608923">
                      <w:marLeft w:val="0"/>
                      <w:marRight w:val="0"/>
                      <w:marTop w:val="0"/>
                      <w:marBottom w:val="0"/>
                      <w:divBdr>
                        <w:top w:val="none" w:sz="0" w:space="0" w:color="auto"/>
                        <w:left w:val="none" w:sz="0" w:space="0" w:color="auto"/>
                        <w:bottom w:val="none" w:sz="0" w:space="0" w:color="auto"/>
                        <w:right w:val="none" w:sz="0" w:space="0" w:color="auto"/>
                      </w:divBdr>
                      <w:divsChild>
                        <w:div w:id="21442961">
                          <w:marLeft w:val="0"/>
                          <w:marRight w:val="0"/>
                          <w:marTop w:val="0"/>
                          <w:marBottom w:val="0"/>
                          <w:divBdr>
                            <w:top w:val="none" w:sz="0" w:space="0" w:color="auto"/>
                            <w:left w:val="none" w:sz="0" w:space="0" w:color="auto"/>
                            <w:bottom w:val="none" w:sz="0" w:space="0" w:color="auto"/>
                            <w:right w:val="none" w:sz="0" w:space="0" w:color="auto"/>
                          </w:divBdr>
                          <w:divsChild>
                            <w:div w:id="2076120939">
                              <w:marLeft w:val="0"/>
                              <w:marRight w:val="0"/>
                              <w:marTop w:val="0"/>
                              <w:marBottom w:val="0"/>
                              <w:divBdr>
                                <w:top w:val="none" w:sz="0" w:space="0" w:color="auto"/>
                                <w:left w:val="none" w:sz="0" w:space="0" w:color="auto"/>
                                <w:bottom w:val="none" w:sz="0" w:space="0" w:color="auto"/>
                                <w:right w:val="none" w:sz="0" w:space="0" w:color="auto"/>
                              </w:divBdr>
                              <w:divsChild>
                                <w:div w:id="340592300">
                                  <w:marLeft w:val="0"/>
                                  <w:marRight w:val="225"/>
                                  <w:marTop w:val="225"/>
                                  <w:marBottom w:val="600"/>
                                  <w:divBdr>
                                    <w:top w:val="none" w:sz="0" w:space="0" w:color="auto"/>
                                    <w:left w:val="none" w:sz="0" w:space="0" w:color="auto"/>
                                    <w:bottom w:val="none" w:sz="0" w:space="0" w:color="auto"/>
                                    <w:right w:val="none" w:sz="0" w:space="0" w:color="auto"/>
                                  </w:divBdr>
                                  <w:divsChild>
                                    <w:div w:id="1832676190">
                                      <w:marLeft w:val="0"/>
                                      <w:marRight w:val="0"/>
                                      <w:marTop w:val="0"/>
                                      <w:marBottom w:val="0"/>
                                      <w:divBdr>
                                        <w:top w:val="none" w:sz="0" w:space="0" w:color="auto"/>
                                        <w:left w:val="none" w:sz="0" w:space="0" w:color="auto"/>
                                        <w:bottom w:val="none" w:sz="0" w:space="0" w:color="auto"/>
                                        <w:right w:val="none" w:sz="0" w:space="0" w:color="auto"/>
                                      </w:divBdr>
                                      <w:divsChild>
                                        <w:div w:id="11801190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043716">
      <w:bodyDiv w:val="1"/>
      <w:marLeft w:val="0"/>
      <w:marRight w:val="0"/>
      <w:marTop w:val="0"/>
      <w:marBottom w:val="0"/>
      <w:divBdr>
        <w:top w:val="none" w:sz="0" w:space="0" w:color="auto"/>
        <w:left w:val="none" w:sz="0" w:space="0" w:color="auto"/>
        <w:bottom w:val="none" w:sz="0" w:space="0" w:color="auto"/>
        <w:right w:val="none" w:sz="0" w:space="0" w:color="auto"/>
      </w:divBdr>
    </w:div>
    <w:div w:id="1299341845">
      <w:bodyDiv w:val="1"/>
      <w:marLeft w:val="0"/>
      <w:marRight w:val="0"/>
      <w:marTop w:val="0"/>
      <w:marBottom w:val="0"/>
      <w:divBdr>
        <w:top w:val="none" w:sz="0" w:space="0" w:color="auto"/>
        <w:left w:val="none" w:sz="0" w:space="0" w:color="auto"/>
        <w:bottom w:val="none" w:sz="0" w:space="0" w:color="auto"/>
        <w:right w:val="none" w:sz="0" w:space="0" w:color="auto"/>
      </w:divBdr>
      <w:divsChild>
        <w:div w:id="588390684">
          <w:marLeft w:val="0"/>
          <w:marRight w:val="0"/>
          <w:marTop w:val="0"/>
          <w:marBottom w:val="0"/>
          <w:divBdr>
            <w:top w:val="none" w:sz="0" w:space="0" w:color="auto"/>
            <w:left w:val="none" w:sz="0" w:space="0" w:color="auto"/>
            <w:bottom w:val="none" w:sz="0" w:space="0" w:color="auto"/>
            <w:right w:val="none" w:sz="0" w:space="0" w:color="auto"/>
          </w:divBdr>
          <w:divsChild>
            <w:div w:id="932978160">
              <w:marLeft w:val="-225"/>
              <w:marRight w:val="-225"/>
              <w:marTop w:val="0"/>
              <w:marBottom w:val="0"/>
              <w:divBdr>
                <w:top w:val="none" w:sz="0" w:space="0" w:color="auto"/>
                <w:left w:val="none" w:sz="0" w:space="0" w:color="auto"/>
                <w:bottom w:val="none" w:sz="0" w:space="0" w:color="auto"/>
                <w:right w:val="none" w:sz="0" w:space="0" w:color="auto"/>
              </w:divBdr>
              <w:divsChild>
                <w:div w:id="1336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04363">
      <w:bodyDiv w:val="1"/>
      <w:marLeft w:val="0"/>
      <w:marRight w:val="0"/>
      <w:marTop w:val="0"/>
      <w:marBottom w:val="0"/>
      <w:divBdr>
        <w:top w:val="none" w:sz="0" w:space="0" w:color="auto"/>
        <w:left w:val="none" w:sz="0" w:space="0" w:color="auto"/>
        <w:bottom w:val="none" w:sz="0" w:space="0" w:color="auto"/>
        <w:right w:val="none" w:sz="0" w:space="0" w:color="auto"/>
      </w:divBdr>
      <w:divsChild>
        <w:div w:id="463428205">
          <w:marLeft w:val="0"/>
          <w:marRight w:val="0"/>
          <w:marTop w:val="0"/>
          <w:marBottom w:val="0"/>
          <w:divBdr>
            <w:top w:val="none" w:sz="0" w:space="0" w:color="auto"/>
            <w:left w:val="none" w:sz="0" w:space="0" w:color="auto"/>
            <w:bottom w:val="none" w:sz="0" w:space="0" w:color="auto"/>
            <w:right w:val="none" w:sz="0" w:space="0" w:color="auto"/>
          </w:divBdr>
        </w:div>
        <w:div w:id="555507208">
          <w:marLeft w:val="0"/>
          <w:marRight w:val="0"/>
          <w:marTop w:val="0"/>
          <w:marBottom w:val="0"/>
          <w:divBdr>
            <w:top w:val="none" w:sz="0" w:space="0" w:color="auto"/>
            <w:left w:val="none" w:sz="0" w:space="0" w:color="auto"/>
            <w:bottom w:val="none" w:sz="0" w:space="0" w:color="auto"/>
            <w:right w:val="none" w:sz="0" w:space="0" w:color="auto"/>
          </w:divBdr>
        </w:div>
        <w:div w:id="2034722732">
          <w:marLeft w:val="0"/>
          <w:marRight w:val="0"/>
          <w:marTop w:val="0"/>
          <w:marBottom w:val="0"/>
          <w:divBdr>
            <w:top w:val="none" w:sz="0" w:space="0" w:color="auto"/>
            <w:left w:val="none" w:sz="0" w:space="0" w:color="auto"/>
            <w:bottom w:val="none" w:sz="0" w:space="0" w:color="auto"/>
            <w:right w:val="none" w:sz="0" w:space="0" w:color="auto"/>
          </w:divBdr>
        </w:div>
      </w:divsChild>
    </w:div>
    <w:div w:id="2054380560">
      <w:bodyDiv w:val="1"/>
      <w:marLeft w:val="0"/>
      <w:marRight w:val="0"/>
      <w:marTop w:val="0"/>
      <w:marBottom w:val="0"/>
      <w:divBdr>
        <w:top w:val="none" w:sz="0" w:space="0" w:color="auto"/>
        <w:left w:val="none" w:sz="0" w:space="0" w:color="auto"/>
        <w:bottom w:val="none" w:sz="0" w:space="0" w:color="auto"/>
        <w:right w:val="none" w:sz="0" w:space="0" w:color="auto"/>
      </w:divBdr>
    </w:div>
    <w:div w:id="2076731800">
      <w:bodyDiv w:val="1"/>
      <w:marLeft w:val="0"/>
      <w:marRight w:val="0"/>
      <w:marTop w:val="0"/>
      <w:marBottom w:val="0"/>
      <w:divBdr>
        <w:top w:val="none" w:sz="0" w:space="0" w:color="auto"/>
        <w:left w:val="none" w:sz="0" w:space="0" w:color="auto"/>
        <w:bottom w:val="none" w:sz="0" w:space="0" w:color="auto"/>
        <w:right w:val="none" w:sz="0" w:space="0" w:color="auto"/>
      </w:divBdr>
    </w:div>
    <w:div w:id="212325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09B55-6229-41A9-8670-DB701D5E7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2420</Words>
  <Characters>13795</Characters>
  <Application>Microsoft Office Word</Application>
  <DocSecurity>4</DocSecurity>
  <PresentationFormat>12|.DOCX</PresentationFormat>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Felesky Wade</dc:creator>
  <cp:lastModifiedBy>Bruce Cameron</cp:lastModifiedBy>
  <cp:revision>2</cp:revision>
  <cp:lastPrinted>2018-05-30T04:09:00Z</cp:lastPrinted>
  <dcterms:created xsi:type="dcterms:W3CDTF">2018-05-31T01:53:00Z</dcterms:created>
  <dcterms:modified xsi:type="dcterms:W3CDTF">2018-05-31T01:53:00Z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c96e82ab-6231-44ac-9dab-d7c835401691</vt:lpwstr>
  </property>
  <property fmtid="{D5CDD505-2E9C-101B-9397-08002B2CF9AE}" pid="3" name="DocID">
    <vt:lpwstr>CAN: 27478070.2</vt:lpwstr>
  </property>
</Properties>
</file>