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7552" w14:textId="77777777" w:rsidR="00743EE7" w:rsidRDefault="00743EE7" w:rsidP="006776F7">
      <w:pPr>
        <w:pStyle w:val="BodyTextIndent"/>
        <w:ind w:left="1800"/>
        <w:rPr>
          <w:rFonts w:ascii="Arial" w:hAnsi="Arial" w:cs="Arial"/>
          <w:b/>
          <w:bCs/>
          <w:noProof/>
          <w:sz w:val="20"/>
        </w:rPr>
      </w:pPr>
      <w:r>
        <w:rPr>
          <w:rFonts w:ascii="Arial" w:hAnsi="Arial" w:cs="Arial"/>
          <w:b/>
          <w:bCs/>
          <w:noProof/>
          <w:sz w:val="20"/>
        </w:rPr>
        <w:t>FOR MORE INFORMATION</w:t>
      </w:r>
    </w:p>
    <w:p w14:paraId="341F6608" w14:textId="77777777" w:rsidR="00743EE7" w:rsidRDefault="00743EE7" w:rsidP="006776F7">
      <w:pPr>
        <w:pStyle w:val="BodyTextIndent"/>
        <w:ind w:left="1800"/>
        <w:rPr>
          <w:rFonts w:ascii="Arial" w:hAnsi="Arial" w:cs="Arial"/>
          <w:b/>
          <w:bCs/>
          <w:noProof/>
          <w:sz w:val="20"/>
        </w:rPr>
      </w:pPr>
    </w:p>
    <w:p w14:paraId="6EB8CBDC" w14:textId="226CC4FF" w:rsidR="00FB2363" w:rsidRPr="003B27B6" w:rsidRDefault="009F0DCE" w:rsidP="00FB2363">
      <w:pPr>
        <w:pStyle w:val="BodyTextIndent"/>
        <w:ind w:left="1800"/>
        <w:rPr>
          <w:rFonts w:asciiTheme="minorHAnsi" w:hAnsiTheme="minorHAnsi" w:cs="Arial"/>
          <w:sz w:val="22"/>
          <w:szCs w:val="22"/>
        </w:rPr>
      </w:pPr>
      <w:r w:rsidRPr="003B27B6">
        <w:rPr>
          <w:rFonts w:asciiTheme="minorHAnsi" w:hAnsiTheme="minorHAnsi" w:cs="Arial"/>
          <w:sz w:val="22"/>
          <w:szCs w:val="22"/>
        </w:rPr>
        <w:t>Vanessa Cornell</w:t>
      </w:r>
    </w:p>
    <w:p w14:paraId="4705DE1C" w14:textId="2F6D7357" w:rsidR="00FB2363" w:rsidRPr="003B27B6" w:rsidRDefault="00780D8E" w:rsidP="00FB2363">
      <w:pPr>
        <w:ind w:left="1800"/>
        <w:rPr>
          <w:rFonts w:asciiTheme="minorHAnsi" w:hAnsiTheme="minorHAnsi" w:cs="Arial"/>
          <w:sz w:val="22"/>
          <w:szCs w:val="22"/>
        </w:rPr>
      </w:pPr>
      <w:hyperlink r:id="rId13" w:history="1">
        <w:r w:rsidR="009F0DCE" w:rsidRPr="003B27B6">
          <w:rPr>
            <w:rStyle w:val="Hyperlink"/>
            <w:rFonts w:asciiTheme="minorHAnsi" w:hAnsiTheme="minorHAnsi" w:cs="Arial"/>
            <w:sz w:val="22"/>
            <w:szCs w:val="22"/>
          </w:rPr>
          <w:t>vanessa.cornell@smithgroupjjr.com</w:t>
        </w:r>
      </w:hyperlink>
    </w:p>
    <w:p w14:paraId="71BFFE8E" w14:textId="5E0C366C" w:rsidR="00FB2363" w:rsidRPr="003B27B6" w:rsidRDefault="009F0DCE" w:rsidP="0010453C">
      <w:pPr>
        <w:tabs>
          <w:tab w:val="left" w:pos="3018"/>
        </w:tabs>
        <w:ind w:left="1800"/>
        <w:rPr>
          <w:rFonts w:asciiTheme="minorHAnsi" w:hAnsiTheme="minorHAnsi" w:cs="Arial"/>
          <w:sz w:val="22"/>
          <w:szCs w:val="22"/>
        </w:rPr>
      </w:pPr>
      <w:r w:rsidRPr="003B27B6">
        <w:rPr>
          <w:rFonts w:asciiTheme="minorHAnsi" w:hAnsiTheme="minorHAnsi" w:cs="Arial"/>
          <w:sz w:val="22"/>
          <w:szCs w:val="22"/>
        </w:rPr>
        <w:t>312.641.6769</w:t>
      </w:r>
    </w:p>
    <w:p w14:paraId="3B55B113" w14:textId="77777777" w:rsidR="009F0DCE" w:rsidRPr="003B27B6" w:rsidRDefault="009F0DCE" w:rsidP="0010453C">
      <w:pPr>
        <w:tabs>
          <w:tab w:val="left" w:pos="3018"/>
        </w:tabs>
        <w:ind w:left="1800"/>
        <w:rPr>
          <w:rFonts w:asciiTheme="minorHAnsi" w:hAnsiTheme="minorHAnsi" w:cs="Arial"/>
          <w:sz w:val="22"/>
          <w:szCs w:val="22"/>
        </w:rPr>
      </w:pPr>
    </w:p>
    <w:p w14:paraId="2EE75A8E" w14:textId="77777777" w:rsidR="009F0DCE" w:rsidRPr="003B27B6" w:rsidRDefault="009F0DCE" w:rsidP="009F0DCE">
      <w:pPr>
        <w:pStyle w:val="BodyTextIndent"/>
        <w:ind w:left="1800"/>
        <w:rPr>
          <w:rFonts w:asciiTheme="minorHAnsi" w:hAnsiTheme="minorHAnsi" w:cs="Arial"/>
          <w:sz w:val="22"/>
          <w:szCs w:val="22"/>
        </w:rPr>
      </w:pPr>
      <w:r w:rsidRPr="003B27B6">
        <w:rPr>
          <w:rFonts w:asciiTheme="minorHAnsi" w:hAnsiTheme="minorHAnsi" w:cs="Arial"/>
          <w:sz w:val="22"/>
          <w:szCs w:val="22"/>
        </w:rPr>
        <w:t>Tara Hoeksema</w:t>
      </w:r>
    </w:p>
    <w:p w14:paraId="7C89D6DE" w14:textId="77777777" w:rsidR="009F0DCE" w:rsidRPr="003B27B6" w:rsidRDefault="00780D8E" w:rsidP="009F0DCE">
      <w:pPr>
        <w:ind w:left="1800"/>
        <w:rPr>
          <w:rFonts w:asciiTheme="minorHAnsi" w:hAnsiTheme="minorHAnsi" w:cs="Arial"/>
          <w:sz w:val="22"/>
          <w:szCs w:val="22"/>
        </w:rPr>
      </w:pPr>
      <w:hyperlink r:id="rId14" w:history="1">
        <w:r w:rsidR="009F0DCE" w:rsidRPr="003B27B6">
          <w:rPr>
            <w:rStyle w:val="Hyperlink"/>
            <w:rFonts w:asciiTheme="minorHAnsi" w:hAnsiTheme="minorHAnsi" w:cs="Arial"/>
            <w:sz w:val="22"/>
            <w:szCs w:val="22"/>
          </w:rPr>
          <w:t>tara.hoeksema@smithgroupjjr.com</w:t>
        </w:r>
      </w:hyperlink>
    </w:p>
    <w:p w14:paraId="4F050852" w14:textId="12F876FC" w:rsidR="009F0DCE" w:rsidRDefault="003B27B6" w:rsidP="009F0DCE">
      <w:pPr>
        <w:tabs>
          <w:tab w:val="left" w:pos="3018"/>
        </w:tabs>
        <w:ind w:left="1800"/>
        <w:rPr>
          <w:rFonts w:asciiTheme="minorHAnsi" w:hAnsiTheme="minorHAnsi" w:cs="Arial"/>
          <w:sz w:val="22"/>
          <w:szCs w:val="22"/>
        </w:rPr>
      </w:pPr>
      <w:r w:rsidRPr="003B27B6">
        <w:rPr>
          <w:rFonts w:asciiTheme="minorHAnsi" w:hAnsiTheme="minorHAnsi" w:cs="Arial"/>
          <w:sz w:val="22"/>
          <w:szCs w:val="22"/>
        </w:rPr>
        <w:t>248.808.8789</w:t>
      </w:r>
      <w:r w:rsidR="009F0DCE">
        <w:rPr>
          <w:rFonts w:asciiTheme="minorHAnsi" w:hAnsiTheme="minorHAnsi" w:cs="Arial"/>
          <w:sz w:val="22"/>
          <w:szCs w:val="22"/>
        </w:rPr>
        <w:tab/>
      </w:r>
    </w:p>
    <w:p w14:paraId="6BC6219F" w14:textId="77777777" w:rsidR="00FB2363" w:rsidRDefault="00FB2363" w:rsidP="00580F9C">
      <w:pPr>
        <w:rPr>
          <w:rFonts w:asciiTheme="minorHAnsi" w:hAnsiTheme="minorHAnsi" w:cs="Arial"/>
          <w:b/>
          <w:sz w:val="28"/>
          <w:szCs w:val="28"/>
        </w:rPr>
      </w:pPr>
    </w:p>
    <w:p w14:paraId="31C8B5A2" w14:textId="3B73FE15" w:rsidR="00743EE7" w:rsidRPr="00D01487" w:rsidRDefault="00F105D5" w:rsidP="0010453C">
      <w:pPr>
        <w:ind w:left="1800"/>
        <w:rPr>
          <w:rFonts w:ascii="Arial" w:hAnsi="Arial" w:cs="Arial"/>
          <w:b/>
        </w:rPr>
      </w:pPr>
      <w:r>
        <w:rPr>
          <w:rFonts w:asciiTheme="minorHAnsi" w:hAnsiTheme="minorHAnsi" w:cs="Arial"/>
          <w:b/>
          <w:sz w:val="28"/>
          <w:szCs w:val="28"/>
        </w:rPr>
        <w:t xml:space="preserve">Three SmithGroupJJR-designed </w:t>
      </w:r>
      <w:r w:rsidR="0010453C" w:rsidRPr="0010453C">
        <w:rPr>
          <w:rFonts w:asciiTheme="minorHAnsi" w:hAnsiTheme="minorHAnsi" w:cs="Arial"/>
          <w:b/>
          <w:sz w:val="28"/>
          <w:szCs w:val="28"/>
        </w:rPr>
        <w:t>buildings</w:t>
      </w:r>
      <w:r w:rsidR="009F0DCE">
        <w:rPr>
          <w:rFonts w:asciiTheme="minorHAnsi" w:hAnsiTheme="minorHAnsi" w:cs="Arial"/>
          <w:b/>
          <w:sz w:val="28"/>
          <w:szCs w:val="28"/>
        </w:rPr>
        <w:t xml:space="preserve"> are</w:t>
      </w:r>
      <w:r w:rsidR="0010453C" w:rsidRPr="0010453C">
        <w:rPr>
          <w:rFonts w:asciiTheme="minorHAnsi" w:hAnsiTheme="minorHAnsi" w:cs="Arial"/>
          <w:b/>
          <w:sz w:val="28"/>
          <w:szCs w:val="28"/>
        </w:rPr>
        <w:t xml:space="preserve"> </w:t>
      </w:r>
      <w:r w:rsidR="00C94F9D" w:rsidRPr="009F0DCE">
        <w:rPr>
          <w:rFonts w:asciiTheme="minorHAnsi" w:hAnsiTheme="minorHAnsi" w:cs="Arial"/>
          <w:b/>
          <w:sz w:val="28"/>
          <w:szCs w:val="28"/>
        </w:rPr>
        <w:t xml:space="preserve">nationally </w:t>
      </w:r>
      <w:r w:rsidRPr="009F0DCE">
        <w:rPr>
          <w:rFonts w:asciiTheme="minorHAnsi" w:hAnsiTheme="minorHAnsi" w:cs="Arial"/>
          <w:b/>
          <w:sz w:val="28"/>
          <w:szCs w:val="28"/>
        </w:rPr>
        <w:t>r</w:t>
      </w:r>
      <w:r>
        <w:rPr>
          <w:rFonts w:asciiTheme="minorHAnsi" w:hAnsiTheme="minorHAnsi" w:cs="Arial"/>
          <w:b/>
          <w:sz w:val="28"/>
          <w:szCs w:val="28"/>
        </w:rPr>
        <w:t>ecognized</w:t>
      </w:r>
      <w:r w:rsidR="0010453C" w:rsidRPr="0010453C">
        <w:rPr>
          <w:rFonts w:asciiTheme="minorHAnsi" w:hAnsiTheme="minorHAnsi" w:cs="Arial"/>
          <w:b/>
          <w:sz w:val="28"/>
          <w:szCs w:val="28"/>
        </w:rPr>
        <w:t xml:space="preserve"> by the American Institute of Architects</w:t>
      </w:r>
      <w:r>
        <w:rPr>
          <w:rFonts w:asciiTheme="minorHAnsi" w:hAnsiTheme="minorHAnsi" w:cs="Arial"/>
          <w:b/>
          <w:sz w:val="28"/>
          <w:szCs w:val="28"/>
        </w:rPr>
        <w:t xml:space="preserve"> as </w:t>
      </w:r>
      <w:r w:rsidRPr="00F105D5">
        <w:rPr>
          <w:rFonts w:asciiTheme="minorHAnsi" w:hAnsiTheme="minorHAnsi" w:cs="Arial"/>
          <w:b/>
          <w:sz w:val="28"/>
          <w:szCs w:val="28"/>
        </w:rPr>
        <w:t>exemplary</w:t>
      </w:r>
      <w:r>
        <w:rPr>
          <w:rFonts w:asciiTheme="minorHAnsi" w:hAnsiTheme="minorHAnsi" w:cs="Arial"/>
          <w:b/>
          <w:sz w:val="28"/>
          <w:szCs w:val="28"/>
        </w:rPr>
        <w:t xml:space="preserve"> lea</w:t>
      </w:r>
      <w:r w:rsidR="001D1009">
        <w:rPr>
          <w:rFonts w:asciiTheme="minorHAnsi" w:hAnsiTheme="minorHAnsi" w:cs="Arial"/>
          <w:b/>
          <w:sz w:val="28"/>
          <w:szCs w:val="28"/>
        </w:rPr>
        <w:t>rning and research environments</w:t>
      </w:r>
      <w:r>
        <w:rPr>
          <w:rFonts w:asciiTheme="minorHAnsi" w:hAnsiTheme="minorHAnsi" w:cs="Arial"/>
          <w:b/>
          <w:sz w:val="28"/>
          <w:szCs w:val="28"/>
        </w:rPr>
        <w:t xml:space="preserve"> </w:t>
      </w:r>
    </w:p>
    <w:p w14:paraId="0AED9462" w14:textId="77777777" w:rsidR="0010453C" w:rsidRDefault="0010453C" w:rsidP="00EB37BE">
      <w:pPr>
        <w:spacing w:line="360" w:lineRule="auto"/>
        <w:ind w:left="1800"/>
        <w:rPr>
          <w:rFonts w:asciiTheme="minorHAnsi" w:hAnsiTheme="minorHAnsi" w:cs="Arial"/>
          <w:sz w:val="22"/>
          <w:szCs w:val="22"/>
        </w:rPr>
      </w:pPr>
    </w:p>
    <w:p w14:paraId="5FBB6A73" w14:textId="6BFA9434" w:rsidR="0010453C" w:rsidRPr="0010453C" w:rsidRDefault="0010453C" w:rsidP="0010453C">
      <w:pPr>
        <w:spacing w:line="360" w:lineRule="auto"/>
        <w:ind w:left="1800"/>
        <w:rPr>
          <w:rFonts w:asciiTheme="minorHAnsi" w:hAnsiTheme="minorHAnsi" w:cs="Arial"/>
          <w:sz w:val="22"/>
          <w:szCs w:val="22"/>
        </w:rPr>
      </w:pPr>
      <w:r w:rsidRPr="00D74B78">
        <w:rPr>
          <w:rFonts w:asciiTheme="minorHAnsi" w:hAnsiTheme="minorHAnsi" w:cs="Arial"/>
          <w:sz w:val="22"/>
          <w:szCs w:val="22"/>
        </w:rPr>
        <w:t xml:space="preserve">September </w:t>
      </w:r>
      <w:r w:rsidR="00D74B78" w:rsidRPr="00D74B78">
        <w:rPr>
          <w:rFonts w:asciiTheme="minorHAnsi" w:hAnsiTheme="minorHAnsi" w:cs="Arial"/>
          <w:sz w:val="22"/>
          <w:szCs w:val="22"/>
        </w:rPr>
        <w:t>19</w:t>
      </w:r>
      <w:r w:rsidRPr="00D74B78">
        <w:rPr>
          <w:rFonts w:asciiTheme="minorHAnsi" w:hAnsiTheme="minorHAnsi" w:cs="Arial"/>
          <w:sz w:val="22"/>
          <w:szCs w:val="22"/>
        </w:rPr>
        <w:t>, 2017</w:t>
      </w:r>
      <w:r w:rsidRPr="0010453C">
        <w:rPr>
          <w:rFonts w:asciiTheme="minorHAnsi" w:hAnsiTheme="minorHAnsi" w:cs="Arial"/>
          <w:sz w:val="22"/>
          <w:szCs w:val="22"/>
        </w:rPr>
        <w:t xml:space="preserve"> – </w:t>
      </w:r>
      <w:hyperlink r:id="rId15" w:history="1">
        <w:r w:rsidRPr="0010453C">
          <w:rPr>
            <w:rStyle w:val="Hyperlink"/>
            <w:rFonts w:asciiTheme="minorHAnsi" w:hAnsiTheme="minorHAnsi" w:cs="Arial"/>
            <w:sz w:val="22"/>
            <w:szCs w:val="22"/>
          </w:rPr>
          <w:t>SmithGroupJJR</w:t>
        </w:r>
      </w:hyperlink>
      <w:r w:rsidR="00517B67">
        <w:rPr>
          <w:rFonts w:asciiTheme="minorHAnsi" w:hAnsiTheme="minorHAnsi" w:cs="Arial"/>
          <w:sz w:val="22"/>
          <w:szCs w:val="22"/>
        </w:rPr>
        <w:t xml:space="preserve">, </w:t>
      </w:r>
      <w:r w:rsidRPr="0010453C">
        <w:rPr>
          <w:rFonts w:asciiTheme="minorHAnsi" w:hAnsiTheme="minorHAnsi" w:cs="Arial"/>
          <w:sz w:val="22"/>
          <w:szCs w:val="22"/>
        </w:rPr>
        <w:t xml:space="preserve">one of the nation’s largest </w:t>
      </w:r>
      <w:r w:rsidR="00DA2B6E">
        <w:rPr>
          <w:rFonts w:asciiTheme="minorHAnsi" w:hAnsiTheme="minorHAnsi" w:cs="Arial"/>
          <w:sz w:val="22"/>
          <w:szCs w:val="22"/>
        </w:rPr>
        <w:t>integrated design</w:t>
      </w:r>
      <w:r w:rsidRPr="0010453C">
        <w:rPr>
          <w:rFonts w:asciiTheme="minorHAnsi" w:hAnsiTheme="minorHAnsi" w:cs="Arial"/>
          <w:sz w:val="22"/>
          <w:szCs w:val="22"/>
        </w:rPr>
        <w:t xml:space="preserve"> firms</w:t>
      </w:r>
      <w:r w:rsidR="00517B67">
        <w:rPr>
          <w:rFonts w:asciiTheme="minorHAnsi" w:hAnsiTheme="minorHAnsi" w:cs="Arial"/>
          <w:sz w:val="22"/>
          <w:szCs w:val="22"/>
        </w:rPr>
        <w:t xml:space="preserve">, </w:t>
      </w:r>
      <w:r w:rsidRPr="0010453C">
        <w:rPr>
          <w:rFonts w:asciiTheme="minorHAnsi" w:hAnsiTheme="minorHAnsi" w:cs="Arial"/>
          <w:sz w:val="22"/>
          <w:szCs w:val="22"/>
        </w:rPr>
        <w:t xml:space="preserve">was recently recognized by the </w:t>
      </w:r>
      <w:hyperlink r:id="rId16" w:history="1">
        <w:r w:rsidRPr="00093194">
          <w:rPr>
            <w:rStyle w:val="Hyperlink"/>
            <w:rFonts w:asciiTheme="minorHAnsi" w:hAnsiTheme="minorHAnsi" w:cs="Arial"/>
            <w:sz w:val="22"/>
            <w:szCs w:val="22"/>
          </w:rPr>
          <w:t>American Institute of Architects (AIA)</w:t>
        </w:r>
      </w:hyperlink>
      <w:r w:rsidRPr="0010453C">
        <w:rPr>
          <w:rFonts w:asciiTheme="minorHAnsi" w:hAnsiTheme="minorHAnsi" w:cs="Arial"/>
          <w:sz w:val="22"/>
          <w:szCs w:val="22"/>
        </w:rPr>
        <w:t xml:space="preserve"> for their laboratory facility design at University of Illinois, University of Pennsylvania and the Defense POW/MIA Accounting Agency. </w:t>
      </w:r>
    </w:p>
    <w:p w14:paraId="33EF9AEA" w14:textId="77777777" w:rsidR="0010453C" w:rsidRPr="0010453C" w:rsidRDefault="0010453C" w:rsidP="0010453C">
      <w:pPr>
        <w:spacing w:line="360" w:lineRule="auto"/>
        <w:ind w:left="1800"/>
        <w:rPr>
          <w:rFonts w:asciiTheme="minorHAnsi" w:hAnsiTheme="minorHAnsi" w:cs="Arial"/>
          <w:sz w:val="22"/>
          <w:szCs w:val="22"/>
        </w:rPr>
      </w:pPr>
    </w:p>
    <w:p w14:paraId="0A16D462" w14:textId="2CA6A057" w:rsidR="0010453C" w:rsidRP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t>The</w:t>
      </w:r>
      <w:r w:rsidR="00C11622">
        <w:rPr>
          <w:rFonts w:asciiTheme="minorHAnsi" w:hAnsiTheme="minorHAnsi" w:cs="Arial"/>
          <w:sz w:val="22"/>
          <w:szCs w:val="22"/>
        </w:rPr>
        <w:t xml:space="preserve"> AIA’s</w:t>
      </w:r>
      <w:r w:rsidRPr="0010453C">
        <w:rPr>
          <w:rFonts w:asciiTheme="minorHAnsi" w:hAnsiTheme="minorHAnsi" w:cs="Arial"/>
          <w:sz w:val="22"/>
          <w:szCs w:val="22"/>
        </w:rPr>
        <w:t xml:space="preserve"> </w:t>
      </w:r>
      <w:hyperlink r:id="rId17" w:history="1">
        <w:r w:rsidRPr="00E72181">
          <w:rPr>
            <w:rStyle w:val="Hyperlink"/>
            <w:rFonts w:asciiTheme="minorHAnsi" w:hAnsiTheme="minorHAnsi" w:cs="Arial"/>
            <w:sz w:val="22"/>
            <w:szCs w:val="22"/>
          </w:rPr>
          <w:t>Committee on Architecture for Education</w:t>
        </w:r>
      </w:hyperlink>
      <w:r w:rsidRPr="0010453C">
        <w:rPr>
          <w:rFonts w:asciiTheme="minorHAnsi" w:hAnsiTheme="minorHAnsi" w:cs="Arial"/>
          <w:sz w:val="22"/>
          <w:szCs w:val="22"/>
        </w:rPr>
        <w:t xml:space="preserve"> granted the University of Illinois’ Electrical and Computer Engineering Building and University of Pennsylvania’s Ste</w:t>
      </w:r>
      <w:r w:rsidR="00780D8E">
        <w:rPr>
          <w:rFonts w:asciiTheme="minorHAnsi" w:hAnsiTheme="minorHAnsi" w:cs="Arial"/>
          <w:sz w:val="22"/>
          <w:szCs w:val="22"/>
        </w:rPr>
        <w:t>phen</w:t>
      </w:r>
      <w:r w:rsidRPr="0010453C">
        <w:rPr>
          <w:rFonts w:asciiTheme="minorHAnsi" w:hAnsiTheme="minorHAnsi" w:cs="Arial"/>
          <w:sz w:val="22"/>
          <w:szCs w:val="22"/>
        </w:rPr>
        <w:t xml:space="preserve"> A. Levin Building—both designed by SmithGroupJJR—with </w:t>
      </w:r>
      <w:hyperlink r:id="rId18" w:history="1">
        <w:r w:rsidRPr="00E72181">
          <w:rPr>
            <w:rStyle w:val="Hyperlink"/>
            <w:rFonts w:asciiTheme="minorHAnsi" w:hAnsiTheme="minorHAnsi" w:cs="Arial"/>
            <w:sz w:val="22"/>
            <w:szCs w:val="22"/>
          </w:rPr>
          <w:t>2017 Education Facility Design Awards</w:t>
        </w:r>
      </w:hyperlink>
      <w:r w:rsidRPr="0010453C">
        <w:rPr>
          <w:rFonts w:asciiTheme="minorHAnsi" w:hAnsiTheme="minorHAnsi" w:cs="Arial"/>
          <w:sz w:val="22"/>
          <w:szCs w:val="22"/>
        </w:rPr>
        <w:t xml:space="preserve">. These advanced facilities </w:t>
      </w:r>
      <w:r w:rsidR="00D86BEB" w:rsidRPr="00D86BEB">
        <w:rPr>
          <w:rFonts w:asciiTheme="minorHAnsi" w:hAnsiTheme="minorHAnsi" w:cs="Arial"/>
          <w:sz w:val="22"/>
          <w:szCs w:val="22"/>
        </w:rPr>
        <w:t>were recognized for their place-making contributions in their respective campuses as well as integration of state-of-the-art sustainable features.</w:t>
      </w:r>
    </w:p>
    <w:p w14:paraId="28DE711F" w14:textId="77777777" w:rsidR="0010453C" w:rsidRPr="0010453C" w:rsidRDefault="0010453C" w:rsidP="0010453C">
      <w:pPr>
        <w:spacing w:line="360" w:lineRule="auto"/>
        <w:ind w:left="1800"/>
        <w:rPr>
          <w:rFonts w:asciiTheme="minorHAnsi" w:hAnsiTheme="minorHAnsi" w:cs="Arial"/>
          <w:sz w:val="22"/>
          <w:szCs w:val="22"/>
        </w:rPr>
      </w:pPr>
    </w:p>
    <w:p w14:paraId="78A66A9B" w14:textId="51194484" w:rsidR="0010453C" w:rsidRP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t xml:space="preserve">This </w:t>
      </w:r>
      <w:r w:rsidR="00E94936">
        <w:rPr>
          <w:rFonts w:asciiTheme="minorHAnsi" w:hAnsiTheme="minorHAnsi" w:cs="Arial"/>
          <w:sz w:val="22"/>
          <w:szCs w:val="22"/>
        </w:rPr>
        <w:t xml:space="preserve">awards </w:t>
      </w:r>
      <w:r w:rsidRPr="0010453C">
        <w:rPr>
          <w:rFonts w:asciiTheme="minorHAnsi" w:hAnsiTheme="minorHAnsi" w:cs="Arial"/>
          <w:sz w:val="22"/>
          <w:szCs w:val="22"/>
        </w:rPr>
        <w:t xml:space="preserve">program recognizes </w:t>
      </w:r>
      <w:r w:rsidR="00D86BEB">
        <w:rPr>
          <w:rFonts w:asciiTheme="minorHAnsi" w:hAnsiTheme="minorHAnsi" w:cs="Arial"/>
          <w:sz w:val="22"/>
          <w:szCs w:val="22"/>
        </w:rPr>
        <w:t>sophisticated</w:t>
      </w:r>
      <w:r w:rsidR="00D86BEB" w:rsidRPr="0010453C">
        <w:rPr>
          <w:rFonts w:asciiTheme="minorHAnsi" w:hAnsiTheme="minorHAnsi" w:cs="Arial"/>
          <w:sz w:val="22"/>
          <w:szCs w:val="22"/>
        </w:rPr>
        <w:t xml:space="preserve"> </w:t>
      </w:r>
      <w:r w:rsidRPr="0010453C">
        <w:rPr>
          <w:rFonts w:asciiTheme="minorHAnsi" w:hAnsiTheme="minorHAnsi" w:cs="Arial"/>
          <w:sz w:val="22"/>
          <w:szCs w:val="22"/>
        </w:rPr>
        <w:t>learning environments, including early childhood, K-12, alternative, community and technical colleges, schools of higher education, corporate or other specialized training centers</w:t>
      </w:r>
      <w:r w:rsidR="00C5728C">
        <w:rPr>
          <w:rFonts w:asciiTheme="minorHAnsi" w:hAnsiTheme="minorHAnsi" w:cs="Arial"/>
          <w:sz w:val="22"/>
          <w:szCs w:val="22"/>
        </w:rPr>
        <w:t>,</w:t>
      </w:r>
      <w:r w:rsidRPr="0010453C">
        <w:rPr>
          <w:rFonts w:asciiTheme="minorHAnsi" w:hAnsiTheme="minorHAnsi" w:cs="Arial"/>
          <w:sz w:val="22"/>
          <w:szCs w:val="22"/>
        </w:rPr>
        <w:t xml:space="preserve"> and non-traditional learning environments such as community centers, mus</w:t>
      </w:r>
      <w:r w:rsidR="00C5728C">
        <w:rPr>
          <w:rFonts w:asciiTheme="minorHAnsi" w:hAnsiTheme="minorHAnsi" w:cs="Arial"/>
          <w:sz w:val="22"/>
          <w:szCs w:val="22"/>
        </w:rPr>
        <w:t>eums, libraries, nature centers</w:t>
      </w:r>
      <w:r w:rsidRPr="0010453C">
        <w:rPr>
          <w:rFonts w:asciiTheme="minorHAnsi" w:hAnsiTheme="minorHAnsi" w:cs="Arial"/>
          <w:sz w:val="22"/>
          <w:szCs w:val="22"/>
        </w:rPr>
        <w:t xml:space="preserve"> and interpretive centers.</w:t>
      </w:r>
      <w:r w:rsidR="00D77EB4">
        <w:rPr>
          <w:rFonts w:asciiTheme="minorHAnsi" w:hAnsiTheme="minorHAnsi" w:cs="Arial"/>
          <w:sz w:val="22"/>
          <w:szCs w:val="22"/>
        </w:rPr>
        <w:t xml:space="preserve"> SmithGroupJJR was the only design firm to be recognized for two projects in this award program.</w:t>
      </w:r>
    </w:p>
    <w:p w14:paraId="2354ACEE" w14:textId="77777777" w:rsidR="0010453C" w:rsidRPr="0010453C" w:rsidRDefault="0010453C" w:rsidP="0010453C">
      <w:pPr>
        <w:spacing w:line="360" w:lineRule="auto"/>
        <w:ind w:left="1800"/>
        <w:rPr>
          <w:rFonts w:asciiTheme="minorHAnsi" w:hAnsiTheme="minorHAnsi" w:cs="Arial"/>
          <w:sz w:val="22"/>
          <w:szCs w:val="22"/>
        </w:rPr>
      </w:pPr>
    </w:p>
    <w:p w14:paraId="027ADA3E" w14:textId="043A35F6" w:rsidR="0010453C" w:rsidRP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lastRenderedPageBreak/>
        <w:t xml:space="preserve">The </w:t>
      </w:r>
      <w:hyperlink r:id="rId19" w:history="1">
        <w:r w:rsidRPr="00E72181">
          <w:rPr>
            <w:rStyle w:val="Hyperlink"/>
            <w:rFonts w:asciiTheme="minorHAnsi" w:hAnsiTheme="minorHAnsi" w:cs="Arial"/>
            <w:sz w:val="22"/>
            <w:szCs w:val="22"/>
          </w:rPr>
          <w:t>AIA’s Academy of Architecture for Justice (AAJ)</w:t>
        </w:r>
      </w:hyperlink>
      <w:r w:rsidRPr="0010453C">
        <w:rPr>
          <w:rFonts w:asciiTheme="minorHAnsi" w:hAnsiTheme="minorHAnsi" w:cs="Arial"/>
          <w:sz w:val="22"/>
          <w:szCs w:val="22"/>
        </w:rPr>
        <w:t xml:space="preserve"> honored the SmithGroupJJR-designed Senator Daniel K. Inouye Defense POW/MIA Accounting Agency Center of Excellence as a recipient of the </w:t>
      </w:r>
      <w:hyperlink r:id="rId20" w:history="1">
        <w:r w:rsidRPr="00E72181">
          <w:rPr>
            <w:rStyle w:val="Hyperlink"/>
            <w:rFonts w:asciiTheme="minorHAnsi" w:hAnsiTheme="minorHAnsi" w:cs="Arial"/>
            <w:sz w:val="22"/>
            <w:szCs w:val="22"/>
          </w:rPr>
          <w:t>Justice Facilities Review awards program</w:t>
        </w:r>
      </w:hyperlink>
      <w:r w:rsidRPr="0010453C">
        <w:rPr>
          <w:rFonts w:asciiTheme="minorHAnsi" w:hAnsiTheme="minorHAnsi" w:cs="Arial"/>
          <w:sz w:val="22"/>
          <w:szCs w:val="22"/>
        </w:rPr>
        <w:t xml:space="preserve"> for its demonstrated quality of form, functionality, and current architectural responses to complex justice design issues. </w:t>
      </w:r>
    </w:p>
    <w:p w14:paraId="3E131D58" w14:textId="77777777" w:rsidR="0010453C" w:rsidRPr="0010453C" w:rsidRDefault="0010453C" w:rsidP="0010453C">
      <w:pPr>
        <w:spacing w:line="360" w:lineRule="auto"/>
        <w:ind w:left="1800"/>
        <w:rPr>
          <w:rFonts w:asciiTheme="minorHAnsi" w:hAnsiTheme="minorHAnsi" w:cs="Arial"/>
          <w:sz w:val="22"/>
          <w:szCs w:val="22"/>
        </w:rPr>
      </w:pPr>
    </w:p>
    <w:p w14:paraId="7E5981DF" w14:textId="77777777" w:rsid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t>The Justice Facilities Review program offers examples of a broad range of design strategies and depicts the latest trends in the design and construction of justice facilities in the United States, including the implementation of sustainable justice principles.</w:t>
      </w:r>
    </w:p>
    <w:p w14:paraId="796F7E27" w14:textId="77777777" w:rsidR="00B06BB4" w:rsidRDefault="00B06BB4" w:rsidP="0010453C">
      <w:pPr>
        <w:spacing w:line="360" w:lineRule="auto"/>
        <w:ind w:left="1800"/>
        <w:rPr>
          <w:rFonts w:asciiTheme="minorHAnsi" w:hAnsiTheme="minorHAnsi" w:cs="Arial"/>
          <w:sz w:val="22"/>
          <w:szCs w:val="22"/>
        </w:rPr>
      </w:pPr>
    </w:p>
    <w:p w14:paraId="4547A736" w14:textId="1EB0E855" w:rsidR="00B06BB4" w:rsidRDefault="00A775E4" w:rsidP="0010453C">
      <w:pPr>
        <w:spacing w:line="360" w:lineRule="auto"/>
        <w:ind w:left="1800"/>
        <w:rPr>
          <w:rFonts w:asciiTheme="minorHAnsi" w:hAnsiTheme="minorHAnsi" w:cs="Arial"/>
          <w:sz w:val="22"/>
          <w:szCs w:val="22"/>
        </w:rPr>
      </w:pPr>
      <w:r>
        <w:rPr>
          <w:rFonts w:asciiTheme="minorHAnsi" w:hAnsiTheme="minorHAnsi" w:cs="Arial"/>
          <w:sz w:val="22"/>
          <w:szCs w:val="22"/>
        </w:rPr>
        <w:t xml:space="preserve">“To have our work recognized in these </w:t>
      </w:r>
      <w:r w:rsidR="00E36D72">
        <w:rPr>
          <w:rFonts w:asciiTheme="minorHAnsi" w:hAnsiTheme="minorHAnsi" w:cs="Arial"/>
          <w:sz w:val="22"/>
          <w:szCs w:val="22"/>
        </w:rPr>
        <w:t>top-</w:t>
      </w:r>
      <w:r w:rsidR="00C94F9D" w:rsidRPr="009F0DCE">
        <w:rPr>
          <w:rFonts w:asciiTheme="minorHAnsi" w:hAnsiTheme="minorHAnsi" w:cs="Arial"/>
          <w:sz w:val="22"/>
          <w:szCs w:val="22"/>
        </w:rPr>
        <w:t xml:space="preserve">tier </w:t>
      </w:r>
      <w:r>
        <w:rPr>
          <w:rFonts w:asciiTheme="minorHAnsi" w:hAnsiTheme="minorHAnsi" w:cs="Arial"/>
          <w:sz w:val="22"/>
          <w:szCs w:val="22"/>
        </w:rPr>
        <w:t xml:space="preserve">award programs is an honor to our clients, our firm and to all the teams involved,” says </w:t>
      </w:r>
      <w:hyperlink r:id="rId21" w:history="1">
        <w:r w:rsidRPr="00093194">
          <w:rPr>
            <w:rStyle w:val="Hyperlink"/>
            <w:rFonts w:asciiTheme="minorHAnsi" w:hAnsiTheme="minorHAnsi" w:cs="Arial"/>
            <w:sz w:val="22"/>
            <w:szCs w:val="22"/>
          </w:rPr>
          <w:t>Mark Kranz</w:t>
        </w:r>
        <w:r w:rsidR="00063D67" w:rsidRPr="00093194">
          <w:rPr>
            <w:rStyle w:val="Hyperlink"/>
            <w:rFonts w:asciiTheme="minorHAnsi" w:hAnsiTheme="minorHAnsi" w:cs="Arial"/>
            <w:sz w:val="22"/>
            <w:szCs w:val="22"/>
          </w:rPr>
          <w:t>, FAIA, LEED AP</w:t>
        </w:r>
      </w:hyperlink>
      <w:r w:rsidR="00D74B78">
        <w:rPr>
          <w:rFonts w:asciiTheme="minorHAnsi" w:hAnsiTheme="minorHAnsi" w:cs="Arial"/>
          <w:sz w:val="22"/>
          <w:szCs w:val="22"/>
        </w:rPr>
        <w:t>, vice president and d</w:t>
      </w:r>
      <w:r>
        <w:rPr>
          <w:rFonts w:asciiTheme="minorHAnsi" w:hAnsiTheme="minorHAnsi" w:cs="Arial"/>
          <w:sz w:val="22"/>
          <w:szCs w:val="22"/>
        </w:rPr>
        <w:t xml:space="preserve">esign </w:t>
      </w:r>
      <w:r w:rsidR="00D74B78">
        <w:rPr>
          <w:rFonts w:asciiTheme="minorHAnsi" w:hAnsiTheme="minorHAnsi" w:cs="Arial"/>
          <w:sz w:val="22"/>
          <w:szCs w:val="22"/>
        </w:rPr>
        <w:t>d</w:t>
      </w:r>
      <w:r>
        <w:rPr>
          <w:rFonts w:asciiTheme="minorHAnsi" w:hAnsiTheme="minorHAnsi" w:cs="Arial"/>
          <w:sz w:val="22"/>
          <w:szCs w:val="22"/>
        </w:rPr>
        <w:t xml:space="preserve">irector for SmithGroupJJR. “These three projects represent the </w:t>
      </w:r>
      <w:r w:rsidR="00C94F9D">
        <w:rPr>
          <w:rFonts w:asciiTheme="minorHAnsi" w:hAnsiTheme="minorHAnsi" w:cs="Arial"/>
          <w:sz w:val="22"/>
          <w:szCs w:val="22"/>
        </w:rPr>
        <w:t xml:space="preserve">transformational </w:t>
      </w:r>
      <w:r>
        <w:rPr>
          <w:rFonts w:asciiTheme="minorHAnsi" w:hAnsiTheme="minorHAnsi" w:cs="Arial"/>
          <w:sz w:val="22"/>
          <w:szCs w:val="22"/>
        </w:rPr>
        <w:t xml:space="preserve">design </w:t>
      </w:r>
      <w:r w:rsidR="00C94F9D">
        <w:rPr>
          <w:rFonts w:asciiTheme="minorHAnsi" w:hAnsiTheme="minorHAnsi" w:cs="Arial"/>
          <w:sz w:val="22"/>
          <w:szCs w:val="22"/>
        </w:rPr>
        <w:t>innovation</w:t>
      </w:r>
      <w:r>
        <w:rPr>
          <w:rFonts w:asciiTheme="minorHAnsi" w:hAnsiTheme="minorHAnsi" w:cs="Arial"/>
          <w:sz w:val="22"/>
          <w:szCs w:val="22"/>
        </w:rPr>
        <w:t xml:space="preserve">s happening in </w:t>
      </w:r>
      <w:r w:rsidR="00F105D5">
        <w:rPr>
          <w:rFonts w:asciiTheme="minorHAnsi" w:hAnsiTheme="minorHAnsi" w:cs="Arial"/>
          <w:sz w:val="22"/>
          <w:szCs w:val="22"/>
        </w:rPr>
        <w:t>higher education and research</w:t>
      </w:r>
      <w:r>
        <w:rPr>
          <w:rFonts w:asciiTheme="minorHAnsi" w:hAnsiTheme="minorHAnsi" w:cs="Arial"/>
          <w:sz w:val="22"/>
          <w:szCs w:val="22"/>
        </w:rPr>
        <w:t xml:space="preserve"> facilities across the country.”</w:t>
      </w:r>
    </w:p>
    <w:p w14:paraId="12FB0AF5" w14:textId="77777777" w:rsidR="00C96874" w:rsidRPr="0010453C" w:rsidRDefault="00C96874" w:rsidP="0010453C">
      <w:pPr>
        <w:spacing w:line="360" w:lineRule="auto"/>
        <w:ind w:left="1800"/>
        <w:rPr>
          <w:rFonts w:asciiTheme="minorHAnsi" w:hAnsiTheme="minorHAnsi" w:cs="Arial"/>
          <w:sz w:val="22"/>
          <w:szCs w:val="22"/>
        </w:rPr>
      </w:pPr>
    </w:p>
    <w:p w14:paraId="6845A17B" w14:textId="7C177A89" w:rsidR="0010453C" w:rsidRPr="00C96874" w:rsidRDefault="00517B67" w:rsidP="0010453C">
      <w:pPr>
        <w:spacing w:line="360" w:lineRule="auto"/>
        <w:ind w:left="1800"/>
        <w:rPr>
          <w:rFonts w:asciiTheme="minorHAnsi" w:hAnsiTheme="minorHAnsi" w:cs="Arial"/>
          <w:b/>
          <w:sz w:val="22"/>
          <w:szCs w:val="22"/>
          <w:u w:val="single"/>
        </w:rPr>
      </w:pPr>
      <w:r w:rsidRPr="00C96874">
        <w:rPr>
          <w:rFonts w:asciiTheme="minorHAnsi" w:hAnsiTheme="minorHAnsi" w:cs="Arial"/>
          <w:b/>
          <w:sz w:val="22"/>
          <w:szCs w:val="22"/>
          <w:u w:val="single"/>
        </w:rPr>
        <w:t>Additional project information</w:t>
      </w:r>
      <w:r w:rsidR="0010453C" w:rsidRPr="00C96874">
        <w:rPr>
          <w:rFonts w:asciiTheme="minorHAnsi" w:hAnsiTheme="minorHAnsi" w:cs="Arial"/>
          <w:b/>
          <w:sz w:val="22"/>
          <w:szCs w:val="22"/>
          <w:u w:val="single"/>
        </w:rPr>
        <w:t>:</w:t>
      </w:r>
    </w:p>
    <w:p w14:paraId="5250E01F" w14:textId="77777777" w:rsidR="0010453C" w:rsidRPr="0010453C" w:rsidRDefault="0010453C" w:rsidP="0010453C">
      <w:pPr>
        <w:spacing w:line="360" w:lineRule="auto"/>
        <w:ind w:left="1800"/>
        <w:rPr>
          <w:rFonts w:asciiTheme="minorHAnsi" w:hAnsiTheme="minorHAnsi" w:cs="Arial"/>
          <w:sz w:val="22"/>
          <w:szCs w:val="22"/>
        </w:rPr>
      </w:pPr>
    </w:p>
    <w:p w14:paraId="3456FF33" w14:textId="3FC011C4" w:rsidR="0010453C" w:rsidRP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t xml:space="preserve">The $95 million, 230,000-square-foot </w:t>
      </w:r>
      <w:hyperlink r:id="rId22" w:anchor=".WbGJxciGNaQ" w:history="1">
        <w:r w:rsidRPr="00B94ACA">
          <w:rPr>
            <w:rStyle w:val="Hyperlink"/>
            <w:rFonts w:asciiTheme="minorHAnsi" w:hAnsiTheme="minorHAnsi" w:cs="Arial"/>
            <w:b/>
            <w:sz w:val="22"/>
            <w:szCs w:val="22"/>
          </w:rPr>
          <w:t>University of Illinois Electrical and Computer Engineering (ECE) Building</w:t>
        </w:r>
      </w:hyperlink>
      <w:r w:rsidRPr="0010453C">
        <w:rPr>
          <w:rFonts w:asciiTheme="minorHAnsi" w:hAnsiTheme="minorHAnsi" w:cs="Arial"/>
          <w:sz w:val="22"/>
          <w:szCs w:val="22"/>
        </w:rPr>
        <w:t xml:space="preserve"> is one of the nation’s highest performing teaching and research facilities. The net-zero ready facility, located in Urbana-Champaign, acts as the new home for the Department of Electrical and Computer</w:t>
      </w:r>
      <w:r w:rsidR="00F23510">
        <w:rPr>
          <w:rFonts w:asciiTheme="minorHAnsi" w:hAnsiTheme="minorHAnsi" w:cs="Arial"/>
          <w:sz w:val="22"/>
          <w:szCs w:val="22"/>
        </w:rPr>
        <w:t xml:space="preserve"> Engineering. At 230,000-square-</w:t>
      </w:r>
      <w:r w:rsidRPr="0010453C">
        <w:rPr>
          <w:rFonts w:asciiTheme="minorHAnsi" w:hAnsiTheme="minorHAnsi" w:cs="Arial"/>
          <w:sz w:val="22"/>
          <w:szCs w:val="22"/>
        </w:rPr>
        <w:t xml:space="preserve">feet, </w:t>
      </w:r>
      <w:r w:rsidR="00C11622">
        <w:rPr>
          <w:rFonts w:asciiTheme="minorHAnsi" w:hAnsiTheme="minorHAnsi" w:cs="Arial"/>
          <w:sz w:val="22"/>
          <w:szCs w:val="22"/>
        </w:rPr>
        <w:t>i</w:t>
      </w:r>
      <w:r w:rsidRPr="0010453C">
        <w:rPr>
          <w:rFonts w:asciiTheme="minorHAnsi" w:hAnsiTheme="minorHAnsi" w:cs="Arial"/>
          <w:sz w:val="22"/>
          <w:szCs w:val="22"/>
        </w:rPr>
        <w:t xml:space="preserve">t houses all of </w:t>
      </w:r>
      <w:r w:rsidR="003A0576">
        <w:rPr>
          <w:rFonts w:asciiTheme="minorHAnsi" w:hAnsiTheme="minorHAnsi" w:cs="Arial"/>
          <w:sz w:val="22"/>
          <w:szCs w:val="22"/>
        </w:rPr>
        <w:t xml:space="preserve">the department’s </w:t>
      </w:r>
      <w:r w:rsidRPr="0010453C">
        <w:rPr>
          <w:rFonts w:asciiTheme="minorHAnsi" w:hAnsiTheme="minorHAnsi" w:cs="Arial"/>
          <w:sz w:val="22"/>
          <w:szCs w:val="22"/>
        </w:rPr>
        <w:t xml:space="preserve">instructional labs, some of which </w:t>
      </w:r>
      <w:r w:rsidR="00C11622">
        <w:rPr>
          <w:rFonts w:asciiTheme="minorHAnsi" w:hAnsiTheme="minorHAnsi" w:cs="Arial"/>
          <w:sz w:val="22"/>
          <w:szCs w:val="22"/>
        </w:rPr>
        <w:t>h</w:t>
      </w:r>
      <w:r w:rsidRPr="0010453C">
        <w:rPr>
          <w:rFonts w:asciiTheme="minorHAnsi" w:hAnsiTheme="minorHAnsi" w:cs="Arial"/>
          <w:sz w:val="22"/>
          <w:szCs w:val="22"/>
        </w:rPr>
        <w:t xml:space="preserve">ave adjoining classrooms and room for faculty members and teaching assistants to stage equipment and test out concepts without occupying valuable lab space. </w:t>
      </w:r>
      <w:r w:rsidR="00517B67">
        <w:rPr>
          <w:rFonts w:asciiTheme="minorHAnsi" w:hAnsiTheme="minorHAnsi" w:cs="Arial"/>
          <w:sz w:val="22"/>
          <w:szCs w:val="22"/>
        </w:rPr>
        <w:t xml:space="preserve">ECE </w:t>
      </w:r>
      <w:r w:rsidRPr="0010453C">
        <w:rPr>
          <w:rFonts w:asciiTheme="minorHAnsi" w:hAnsiTheme="minorHAnsi" w:cs="Arial"/>
          <w:sz w:val="22"/>
          <w:szCs w:val="22"/>
        </w:rPr>
        <w:t xml:space="preserve">was named the </w:t>
      </w:r>
      <w:hyperlink r:id="rId23" w:history="1">
        <w:r w:rsidRPr="00517B67">
          <w:rPr>
            <w:rStyle w:val="Hyperlink"/>
            <w:rFonts w:asciiTheme="minorHAnsi" w:hAnsiTheme="minorHAnsi" w:cs="Arial"/>
            <w:sz w:val="22"/>
            <w:szCs w:val="22"/>
          </w:rPr>
          <w:t xml:space="preserve">2016 Laboratory of the Year by </w:t>
        </w:r>
        <w:r w:rsidRPr="00F23510">
          <w:rPr>
            <w:rStyle w:val="Hyperlink"/>
            <w:rFonts w:asciiTheme="minorHAnsi" w:hAnsiTheme="minorHAnsi" w:cs="Arial"/>
            <w:i/>
            <w:sz w:val="22"/>
            <w:szCs w:val="22"/>
          </w:rPr>
          <w:t>R&amp;D Magazine</w:t>
        </w:r>
      </w:hyperlink>
      <w:r w:rsidRPr="0010453C">
        <w:rPr>
          <w:rFonts w:asciiTheme="minorHAnsi" w:hAnsiTheme="minorHAnsi" w:cs="Arial"/>
          <w:sz w:val="22"/>
          <w:szCs w:val="22"/>
        </w:rPr>
        <w:t xml:space="preserve">.  </w:t>
      </w:r>
    </w:p>
    <w:p w14:paraId="08892319" w14:textId="77777777" w:rsidR="0010453C" w:rsidRPr="0010453C" w:rsidRDefault="0010453C" w:rsidP="0010453C">
      <w:pPr>
        <w:spacing w:line="360" w:lineRule="auto"/>
        <w:ind w:left="1800"/>
        <w:rPr>
          <w:rFonts w:asciiTheme="minorHAnsi" w:hAnsiTheme="minorHAnsi" w:cs="Arial"/>
          <w:sz w:val="22"/>
          <w:szCs w:val="22"/>
        </w:rPr>
      </w:pPr>
    </w:p>
    <w:p w14:paraId="101418DA" w14:textId="71AFEEF9" w:rsidR="0010453C" w:rsidRDefault="00780D8E" w:rsidP="0010453C">
      <w:pPr>
        <w:spacing w:line="360" w:lineRule="auto"/>
        <w:ind w:left="1800"/>
        <w:rPr>
          <w:rFonts w:asciiTheme="minorHAnsi" w:hAnsiTheme="minorHAnsi" w:cs="Arial"/>
          <w:sz w:val="22"/>
          <w:szCs w:val="22"/>
        </w:rPr>
      </w:pPr>
      <w:hyperlink r:id="rId24" w:anchor=".WbGJ4siGNaQ" w:history="1">
        <w:r w:rsidR="0010453C" w:rsidRPr="00B94ACA">
          <w:rPr>
            <w:rStyle w:val="Hyperlink"/>
            <w:rFonts w:asciiTheme="minorHAnsi" w:hAnsiTheme="minorHAnsi" w:cs="Arial"/>
            <w:b/>
            <w:sz w:val="22"/>
            <w:szCs w:val="22"/>
          </w:rPr>
          <w:t>University of Pennsylvania’s Ste</w:t>
        </w:r>
        <w:r>
          <w:rPr>
            <w:rStyle w:val="Hyperlink"/>
            <w:rFonts w:asciiTheme="minorHAnsi" w:hAnsiTheme="minorHAnsi" w:cs="Arial"/>
            <w:b/>
            <w:sz w:val="22"/>
            <w:szCs w:val="22"/>
          </w:rPr>
          <w:t>phen</w:t>
        </w:r>
        <w:r w:rsidR="0010453C" w:rsidRPr="00B94ACA">
          <w:rPr>
            <w:rStyle w:val="Hyperlink"/>
            <w:rFonts w:asciiTheme="minorHAnsi" w:hAnsiTheme="minorHAnsi" w:cs="Arial"/>
            <w:b/>
            <w:sz w:val="22"/>
            <w:szCs w:val="22"/>
          </w:rPr>
          <w:t xml:space="preserve"> A. Levin Building</w:t>
        </w:r>
      </w:hyperlink>
      <w:r w:rsidR="0010453C" w:rsidRPr="0010453C">
        <w:rPr>
          <w:rFonts w:asciiTheme="minorHAnsi" w:hAnsiTheme="minorHAnsi" w:cs="Arial"/>
          <w:b/>
          <w:sz w:val="22"/>
          <w:szCs w:val="22"/>
        </w:rPr>
        <w:t xml:space="preserve"> </w:t>
      </w:r>
      <w:r w:rsidR="00C5728C">
        <w:rPr>
          <w:rFonts w:asciiTheme="minorHAnsi" w:hAnsiTheme="minorHAnsi" w:cs="Arial"/>
          <w:sz w:val="22"/>
          <w:szCs w:val="22"/>
        </w:rPr>
        <w:t>is a 78,000-square-</w:t>
      </w:r>
      <w:r w:rsidR="0010453C" w:rsidRPr="0010453C">
        <w:rPr>
          <w:rFonts w:asciiTheme="minorHAnsi" w:hAnsiTheme="minorHAnsi" w:cs="Arial"/>
          <w:sz w:val="22"/>
          <w:szCs w:val="22"/>
        </w:rPr>
        <w:t>foot facility that acts as a center and connector for interdisciplinary programs includi</w:t>
      </w:r>
      <w:r w:rsidR="00C5728C">
        <w:rPr>
          <w:rFonts w:asciiTheme="minorHAnsi" w:hAnsiTheme="minorHAnsi" w:cs="Arial"/>
          <w:sz w:val="22"/>
          <w:szCs w:val="22"/>
        </w:rPr>
        <w:t>ng psychology, biology</w:t>
      </w:r>
      <w:r w:rsidR="0010453C" w:rsidRPr="0010453C">
        <w:rPr>
          <w:rFonts w:asciiTheme="minorHAnsi" w:hAnsiTheme="minorHAnsi" w:cs="Arial"/>
          <w:sz w:val="22"/>
          <w:szCs w:val="22"/>
        </w:rPr>
        <w:t xml:space="preserve"> and behavioral sciences</w:t>
      </w:r>
      <w:r w:rsidR="00C11622">
        <w:rPr>
          <w:rFonts w:asciiTheme="minorHAnsi" w:hAnsiTheme="minorHAnsi" w:cs="Arial"/>
          <w:sz w:val="22"/>
          <w:szCs w:val="22"/>
        </w:rPr>
        <w:t>.</w:t>
      </w:r>
      <w:r w:rsidR="0010453C" w:rsidRPr="0010453C">
        <w:rPr>
          <w:rFonts w:asciiTheme="minorHAnsi" w:hAnsiTheme="minorHAnsi" w:cs="Arial"/>
          <w:sz w:val="22"/>
          <w:szCs w:val="22"/>
        </w:rPr>
        <w:t xml:space="preserve"> It houses dry research laboratories, wet-bench teaching facilities, a </w:t>
      </w:r>
      <w:r w:rsidR="0010453C" w:rsidRPr="0010453C">
        <w:rPr>
          <w:rFonts w:asciiTheme="minorHAnsi" w:hAnsiTheme="minorHAnsi" w:cs="Arial"/>
          <w:sz w:val="22"/>
          <w:szCs w:val="22"/>
        </w:rPr>
        <w:lastRenderedPageBreak/>
        <w:t xml:space="preserve">180-seat lecture hall, faculty and graduate student offices, </w:t>
      </w:r>
      <w:bookmarkStart w:id="0" w:name="_GoBack"/>
      <w:bookmarkEnd w:id="0"/>
      <w:r w:rsidR="0010453C" w:rsidRPr="0010453C">
        <w:rPr>
          <w:rFonts w:asciiTheme="minorHAnsi" w:hAnsiTheme="minorHAnsi" w:cs="Arial"/>
          <w:sz w:val="22"/>
          <w:szCs w:val="22"/>
        </w:rPr>
        <w:t>and spaces designed for interactions to foster socializing and collaboration</w:t>
      </w:r>
      <w:r w:rsidR="00C5728C">
        <w:rPr>
          <w:rFonts w:asciiTheme="minorHAnsi" w:hAnsiTheme="minorHAnsi" w:cs="Arial"/>
          <w:sz w:val="22"/>
          <w:szCs w:val="22"/>
        </w:rPr>
        <w:t>. The iconic south-</w:t>
      </w:r>
      <w:r w:rsidR="0010453C" w:rsidRPr="0010453C">
        <w:rPr>
          <w:rFonts w:asciiTheme="minorHAnsi" w:hAnsiTheme="minorHAnsi" w:cs="Arial"/>
          <w:sz w:val="22"/>
          <w:szCs w:val="22"/>
        </w:rPr>
        <w:t>facing facade helps define the</w:t>
      </w:r>
      <w:r w:rsidR="00507F57">
        <w:rPr>
          <w:rFonts w:asciiTheme="minorHAnsi" w:hAnsiTheme="minorHAnsi" w:cs="Arial"/>
          <w:sz w:val="22"/>
          <w:szCs w:val="22"/>
        </w:rPr>
        <w:t xml:space="preserve"> campus’</w:t>
      </w:r>
      <w:r w:rsidR="0010453C" w:rsidRPr="0010453C">
        <w:rPr>
          <w:rFonts w:asciiTheme="minorHAnsi" w:hAnsiTheme="minorHAnsi" w:cs="Arial"/>
          <w:sz w:val="22"/>
          <w:szCs w:val="22"/>
        </w:rPr>
        <w:t xml:space="preserve"> life sciences precinct </w:t>
      </w:r>
      <w:r w:rsidR="00C11622">
        <w:rPr>
          <w:rFonts w:asciiTheme="minorHAnsi" w:hAnsiTheme="minorHAnsi" w:cs="Arial"/>
          <w:sz w:val="22"/>
          <w:szCs w:val="22"/>
        </w:rPr>
        <w:t>but also</w:t>
      </w:r>
      <w:r w:rsidR="0010453C" w:rsidRPr="0010453C">
        <w:rPr>
          <w:rFonts w:asciiTheme="minorHAnsi" w:hAnsiTheme="minorHAnsi" w:cs="Arial"/>
          <w:sz w:val="22"/>
          <w:szCs w:val="22"/>
        </w:rPr>
        <w:t xml:space="preserve"> blocks 50% of solar radiation, while still allowing enough daylight to illuminate the interiors. Prior to designing the Levin Building, SmithGroupJJR provided master planning and programming for the </w:t>
      </w:r>
      <w:r w:rsidR="00C11622">
        <w:rPr>
          <w:rFonts w:asciiTheme="minorHAnsi" w:hAnsiTheme="minorHAnsi" w:cs="Arial"/>
          <w:sz w:val="22"/>
          <w:szCs w:val="22"/>
        </w:rPr>
        <w:t>precinct</w:t>
      </w:r>
      <w:r w:rsidR="0010453C" w:rsidRPr="0010453C">
        <w:rPr>
          <w:rFonts w:asciiTheme="minorHAnsi" w:hAnsiTheme="minorHAnsi" w:cs="Arial"/>
          <w:sz w:val="22"/>
          <w:szCs w:val="22"/>
        </w:rPr>
        <w:t>.</w:t>
      </w:r>
    </w:p>
    <w:p w14:paraId="177ED07D" w14:textId="77777777" w:rsidR="00C96874" w:rsidRDefault="00C96874" w:rsidP="0010453C">
      <w:pPr>
        <w:spacing w:line="360" w:lineRule="auto"/>
        <w:ind w:left="1800"/>
        <w:rPr>
          <w:rFonts w:asciiTheme="minorHAnsi" w:hAnsiTheme="minorHAnsi" w:cs="Arial"/>
          <w:sz w:val="22"/>
          <w:szCs w:val="22"/>
        </w:rPr>
      </w:pPr>
    </w:p>
    <w:p w14:paraId="64ACDE00" w14:textId="226EFFB2" w:rsidR="00C96874" w:rsidRPr="0010453C" w:rsidRDefault="00780D8E" w:rsidP="00C96874">
      <w:pPr>
        <w:spacing w:line="360" w:lineRule="auto"/>
        <w:ind w:left="1800"/>
        <w:rPr>
          <w:rFonts w:asciiTheme="minorHAnsi" w:hAnsiTheme="minorHAnsi" w:cs="Arial"/>
          <w:sz w:val="22"/>
          <w:szCs w:val="22"/>
        </w:rPr>
      </w:pPr>
      <w:hyperlink r:id="rId25" w:anchor=".WbGJpciGNaQ" w:history="1">
        <w:r w:rsidR="00C96874" w:rsidRPr="00B94ACA">
          <w:rPr>
            <w:rStyle w:val="Hyperlink"/>
            <w:rFonts w:asciiTheme="minorHAnsi" w:hAnsiTheme="minorHAnsi" w:cs="Arial"/>
            <w:b/>
            <w:sz w:val="22"/>
            <w:szCs w:val="22"/>
          </w:rPr>
          <w:t>Senator Daniel K. Inouye Defense POW/MIA Accounting Agency Center of Excellence</w:t>
        </w:r>
      </w:hyperlink>
      <w:r w:rsidR="00C96874" w:rsidRPr="0010453C">
        <w:rPr>
          <w:rFonts w:asciiTheme="minorHAnsi" w:hAnsiTheme="minorHAnsi" w:cs="Arial"/>
          <w:sz w:val="22"/>
          <w:szCs w:val="22"/>
        </w:rPr>
        <w:t xml:space="preserve"> is a new $89 million laboratory that will aid in the investigation, recovery and accounting of Americans lost during the nation’s past conflicts dating back to World War II. The 136,497-square-foot facility consolidates operations that were previously dispersed on three military locations on Oahu, Hawaii. </w:t>
      </w:r>
      <w:r w:rsidR="00C96874">
        <w:rPr>
          <w:rFonts w:asciiTheme="minorHAnsi" w:hAnsiTheme="minorHAnsi" w:cs="Arial"/>
          <w:sz w:val="22"/>
          <w:szCs w:val="22"/>
        </w:rPr>
        <w:t>T</w:t>
      </w:r>
      <w:r w:rsidR="00C96874" w:rsidRPr="0010453C">
        <w:rPr>
          <w:rFonts w:asciiTheme="minorHAnsi" w:hAnsiTheme="minorHAnsi" w:cs="Arial"/>
          <w:sz w:val="22"/>
          <w:szCs w:val="22"/>
        </w:rPr>
        <w:t>he new three-story facility demonstrates the unique function and mission of DPAA by providing advanced investigation laboratories, a highly sustainable and flexible working environment for staff and appropriate spaces for the families of the deceased. SmithGroupJJR served as architect, MEP engineer and laboratory planner and programmer of the new</w:t>
      </w:r>
      <w:r w:rsidR="00E36D72">
        <w:rPr>
          <w:rFonts w:asciiTheme="minorHAnsi" w:hAnsiTheme="minorHAnsi" w:cs="Arial"/>
          <w:sz w:val="22"/>
          <w:szCs w:val="22"/>
        </w:rPr>
        <w:t xml:space="preserve"> facility</w:t>
      </w:r>
      <w:r w:rsidR="00C96874" w:rsidRPr="0010453C">
        <w:rPr>
          <w:rFonts w:asciiTheme="minorHAnsi" w:hAnsiTheme="minorHAnsi" w:cs="Arial"/>
          <w:sz w:val="22"/>
          <w:szCs w:val="22"/>
        </w:rPr>
        <w:t>, which is the world’s largest forensic anthropology laboratory.</w:t>
      </w:r>
    </w:p>
    <w:p w14:paraId="56CDA4B4" w14:textId="77777777" w:rsidR="00C96874" w:rsidRPr="0010453C" w:rsidRDefault="00C96874" w:rsidP="00C96874">
      <w:pPr>
        <w:spacing w:line="360" w:lineRule="auto"/>
        <w:ind w:left="1800"/>
        <w:rPr>
          <w:rFonts w:asciiTheme="minorHAnsi" w:hAnsiTheme="minorHAnsi" w:cs="Arial"/>
          <w:sz w:val="22"/>
          <w:szCs w:val="22"/>
        </w:rPr>
      </w:pPr>
    </w:p>
    <w:p w14:paraId="15B28389" w14:textId="7A79E039" w:rsidR="0010453C" w:rsidRPr="0010453C" w:rsidRDefault="0010453C" w:rsidP="0010453C">
      <w:pPr>
        <w:spacing w:line="360" w:lineRule="auto"/>
        <w:ind w:left="1800"/>
        <w:rPr>
          <w:rFonts w:asciiTheme="minorHAnsi" w:hAnsiTheme="minorHAnsi" w:cs="Arial"/>
          <w:sz w:val="22"/>
          <w:szCs w:val="22"/>
        </w:rPr>
      </w:pPr>
      <w:r w:rsidRPr="0010453C">
        <w:rPr>
          <w:rFonts w:asciiTheme="minorHAnsi" w:hAnsiTheme="minorHAnsi" w:cs="Arial"/>
          <w:sz w:val="22"/>
          <w:szCs w:val="22"/>
        </w:rPr>
        <w:t>SmithGroupJJR (</w:t>
      </w:r>
      <w:hyperlink r:id="rId26" w:history="1">
        <w:r w:rsidRPr="00B94ACA">
          <w:rPr>
            <w:rStyle w:val="Hyperlink"/>
            <w:rFonts w:asciiTheme="minorHAnsi" w:hAnsiTheme="minorHAnsi" w:cs="Arial"/>
            <w:sz w:val="22"/>
            <w:szCs w:val="22"/>
          </w:rPr>
          <w:t>www.smithgroupjjr.com</w:t>
        </w:r>
      </w:hyperlink>
      <w:r w:rsidRPr="0010453C">
        <w:rPr>
          <w:rFonts w:asciiTheme="minorHAnsi" w:hAnsiTheme="minorHAnsi" w:cs="Arial"/>
          <w:sz w:val="22"/>
          <w:szCs w:val="22"/>
        </w:rPr>
        <w:t xml:space="preserve">) is a recognized integrated </w:t>
      </w:r>
      <w:r w:rsidR="00DA2B6E">
        <w:rPr>
          <w:rFonts w:asciiTheme="minorHAnsi" w:hAnsiTheme="minorHAnsi" w:cs="Arial"/>
          <w:sz w:val="22"/>
          <w:szCs w:val="22"/>
        </w:rPr>
        <w:t xml:space="preserve">design </w:t>
      </w:r>
      <w:r w:rsidRPr="0010453C">
        <w:rPr>
          <w:rFonts w:asciiTheme="minorHAnsi" w:hAnsiTheme="minorHAnsi" w:cs="Arial"/>
          <w:sz w:val="22"/>
          <w:szCs w:val="22"/>
        </w:rPr>
        <w:t xml:space="preserve">firm ranked as the 7th largest in the U.S. by the 2017 Giants edition of </w:t>
      </w:r>
      <w:r w:rsidRPr="00C5728C">
        <w:rPr>
          <w:rFonts w:asciiTheme="minorHAnsi" w:hAnsiTheme="minorHAnsi" w:cs="Arial"/>
          <w:i/>
          <w:sz w:val="22"/>
          <w:szCs w:val="22"/>
        </w:rPr>
        <w:t>Building Design + Construction</w:t>
      </w:r>
      <w:r w:rsidRPr="0010453C">
        <w:rPr>
          <w:rFonts w:asciiTheme="minorHAnsi" w:hAnsiTheme="minorHAnsi" w:cs="Arial"/>
          <w:sz w:val="22"/>
          <w:szCs w:val="22"/>
        </w:rPr>
        <w:t xml:space="preserve"> magazine. With 1,100 employees in 11 offices, SmithGroupJJR is a national leader in sustainable design with more than 420 LEED professionals and 167 LEED certified projects.</w:t>
      </w:r>
    </w:p>
    <w:p w14:paraId="7C6CE653" w14:textId="77777777" w:rsidR="0010453C" w:rsidRPr="0010453C" w:rsidRDefault="0010453C" w:rsidP="0010453C">
      <w:pPr>
        <w:spacing w:line="360" w:lineRule="auto"/>
        <w:ind w:left="1800"/>
        <w:rPr>
          <w:rFonts w:asciiTheme="minorHAnsi" w:hAnsiTheme="minorHAnsi" w:cs="Arial"/>
          <w:sz w:val="22"/>
          <w:szCs w:val="22"/>
        </w:rPr>
      </w:pPr>
    </w:p>
    <w:p w14:paraId="22BD593C" w14:textId="77777777" w:rsidR="00743EE7" w:rsidRPr="00743EE7" w:rsidRDefault="00743EE7" w:rsidP="00743EE7">
      <w:pPr>
        <w:spacing w:line="360" w:lineRule="auto"/>
        <w:ind w:left="1800"/>
        <w:rPr>
          <w:rStyle w:val="Strong"/>
          <w:rFonts w:asciiTheme="minorHAnsi" w:hAnsiTheme="minorHAnsi" w:cs="Arial"/>
          <w:b w:val="0"/>
          <w:bCs w:val="0"/>
          <w:sz w:val="22"/>
          <w:szCs w:val="22"/>
        </w:rPr>
      </w:pPr>
    </w:p>
    <w:sectPr w:rsidR="00743EE7" w:rsidRPr="00743EE7" w:rsidSect="00E72181">
      <w:headerReference w:type="default" r:id="rId27"/>
      <w:pgSz w:w="12240" w:h="15840"/>
      <w:pgMar w:top="2707" w:right="1440" w:bottom="1440" w:left="720" w:header="720" w:footer="1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6CDD5" w14:textId="77777777" w:rsidR="00134454" w:rsidRDefault="00134454">
      <w:r>
        <w:separator/>
      </w:r>
    </w:p>
  </w:endnote>
  <w:endnote w:type="continuationSeparator" w:id="0">
    <w:p w14:paraId="2CEB7899" w14:textId="77777777" w:rsidR="00134454" w:rsidRDefault="00134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9BAEB" w14:textId="77777777" w:rsidR="00134454" w:rsidRDefault="00134454">
      <w:r>
        <w:separator/>
      </w:r>
    </w:p>
  </w:footnote>
  <w:footnote w:type="continuationSeparator" w:id="0">
    <w:p w14:paraId="7CD02661" w14:textId="77777777" w:rsidR="00134454" w:rsidRDefault="00134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074F" w14:textId="77777777" w:rsidR="009B4D3F" w:rsidRDefault="009B4D3F">
    <w:pPr>
      <w:pStyle w:val="Header"/>
    </w:pPr>
    <w:r>
      <w:rPr>
        <w:noProof/>
      </w:rPr>
      <w:drawing>
        <wp:anchor distT="0" distB="0" distL="114300" distR="114300" simplePos="0" relativeHeight="251658240" behindDoc="1" locked="0" layoutInCell="1" allowOverlap="1" wp14:anchorId="42310752" wp14:editId="1E21702E">
          <wp:simplePos x="0" y="0"/>
          <wp:positionH relativeFrom="column">
            <wp:posOffset>495300</wp:posOffset>
          </wp:positionH>
          <wp:positionV relativeFrom="paragraph">
            <wp:posOffset>190500</wp:posOffset>
          </wp:positionV>
          <wp:extent cx="3000375" cy="457200"/>
          <wp:effectExtent l="0" t="0" r="9525" b="0"/>
          <wp:wrapTight wrapText="bothSides">
            <wp:wrapPolygon edited="0">
              <wp:start x="0" y="0"/>
              <wp:lineTo x="0" y="20700"/>
              <wp:lineTo x="21531" y="20700"/>
              <wp:lineTo x="21531" y="0"/>
              <wp:lineTo x="0" y="0"/>
            </wp:wrapPolygon>
          </wp:wrapTight>
          <wp:docPr id="8" name="Picture 8"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42310754" wp14:editId="42310755">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10754"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12"/>
    <w:rsid w:val="00003662"/>
    <w:rsid w:val="00013770"/>
    <w:rsid w:val="00025E8C"/>
    <w:rsid w:val="0002669E"/>
    <w:rsid w:val="0003517C"/>
    <w:rsid w:val="00045EA5"/>
    <w:rsid w:val="000535CD"/>
    <w:rsid w:val="000561B4"/>
    <w:rsid w:val="00063D67"/>
    <w:rsid w:val="00080CA1"/>
    <w:rsid w:val="00091C82"/>
    <w:rsid w:val="00093194"/>
    <w:rsid w:val="000A65C7"/>
    <w:rsid w:val="000B18DF"/>
    <w:rsid w:val="000B729F"/>
    <w:rsid w:val="000E043B"/>
    <w:rsid w:val="000E5A2C"/>
    <w:rsid w:val="0010453C"/>
    <w:rsid w:val="00105B91"/>
    <w:rsid w:val="00115543"/>
    <w:rsid w:val="00134454"/>
    <w:rsid w:val="00173B68"/>
    <w:rsid w:val="0018750C"/>
    <w:rsid w:val="00193826"/>
    <w:rsid w:val="001A1AE5"/>
    <w:rsid w:val="001A5D85"/>
    <w:rsid w:val="001C14AB"/>
    <w:rsid w:val="001C5495"/>
    <w:rsid w:val="001D1009"/>
    <w:rsid w:val="001D7A0D"/>
    <w:rsid w:val="001D7FA6"/>
    <w:rsid w:val="001E4069"/>
    <w:rsid w:val="001F6BB2"/>
    <w:rsid w:val="002126C0"/>
    <w:rsid w:val="00226D4C"/>
    <w:rsid w:val="00245B86"/>
    <w:rsid w:val="002512AE"/>
    <w:rsid w:val="00255123"/>
    <w:rsid w:val="00257CCA"/>
    <w:rsid w:val="002717FF"/>
    <w:rsid w:val="002724A7"/>
    <w:rsid w:val="00274BEA"/>
    <w:rsid w:val="002923E5"/>
    <w:rsid w:val="002A2CB1"/>
    <w:rsid w:val="002C2071"/>
    <w:rsid w:val="002D3DDA"/>
    <w:rsid w:val="002D3ED7"/>
    <w:rsid w:val="002D5F09"/>
    <w:rsid w:val="002F7B64"/>
    <w:rsid w:val="00312EDE"/>
    <w:rsid w:val="003212DA"/>
    <w:rsid w:val="00327B93"/>
    <w:rsid w:val="003335D2"/>
    <w:rsid w:val="00333D2E"/>
    <w:rsid w:val="0034418A"/>
    <w:rsid w:val="0035049F"/>
    <w:rsid w:val="00350F9C"/>
    <w:rsid w:val="00355627"/>
    <w:rsid w:val="00364C47"/>
    <w:rsid w:val="00374CCB"/>
    <w:rsid w:val="00374D74"/>
    <w:rsid w:val="003769FF"/>
    <w:rsid w:val="00382C3C"/>
    <w:rsid w:val="00392C4A"/>
    <w:rsid w:val="003A0576"/>
    <w:rsid w:val="003A7A6F"/>
    <w:rsid w:val="003B0AD5"/>
    <w:rsid w:val="003B27B6"/>
    <w:rsid w:val="003C715C"/>
    <w:rsid w:val="003F40B5"/>
    <w:rsid w:val="003F7E16"/>
    <w:rsid w:val="004045FD"/>
    <w:rsid w:val="00421DAF"/>
    <w:rsid w:val="00425D91"/>
    <w:rsid w:val="00426ECE"/>
    <w:rsid w:val="004377EF"/>
    <w:rsid w:val="00440BBD"/>
    <w:rsid w:val="004618D2"/>
    <w:rsid w:val="00471509"/>
    <w:rsid w:val="0047251B"/>
    <w:rsid w:val="00476C6F"/>
    <w:rsid w:val="0048299D"/>
    <w:rsid w:val="004958EE"/>
    <w:rsid w:val="004A4774"/>
    <w:rsid w:val="004A6D59"/>
    <w:rsid w:val="004C1DC9"/>
    <w:rsid w:val="004D0EA3"/>
    <w:rsid w:val="004E7081"/>
    <w:rsid w:val="004F214A"/>
    <w:rsid w:val="00507F57"/>
    <w:rsid w:val="00511FE4"/>
    <w:rsid w:val="00517B67"/>
    <w:rsid w:val="00527BCC"/>
    <w:rsid w:val="0053492A"/>
    <w:rsid w:val="00546887"/>
    <w:rsid w:val="00580F9C"/>
    <w:rsid w:val="005864D2"/>
    <w:rsid w:val="005B54AA"/>
    <w:rsid w:val="005C6196"/>
    <w:rsid w:val="005F5E75"/>
    <w:rsid w:val="006108F0"/>
    <w:rsid w:val="00621CAD"/>
    <w:rsid w:val="006260D7"/>
    <w:rsid w:val="006349B8"/>
    <w:rsid w:val="00647046"/>
    <w:rsid w:val="00654D19"/>
    <w:rsid w:val="006553C1"/>
    <w:rsid w:val="00675153"/>
    <w:rsid w:val="006776F7"/>
    <w:rsid w:val="006821DC"/>
    <w:rsid w:val="006A7F2D"/>
    <w:rsid w:val="006D0C97"/>
    <w:rsid w:val="006E0687"/>
    <w:rsid w:val="006E1C2E"/>
    <w:rsid w:val="006F07C4"/>
    <w:rsid w:val="006F1A1B"/>
    <w:rsid w:val="006F53B0"/>
    <w:rsid w:val="00700B44"/>
    <w:rsid w:val="00706E9A"/>
    <w:rsid w:val="00715236"/>
    <w:rsid w:val="00727A39"/>
    <w:rsid w:val="00743EC3"/>
    <w:rsid w:val="00743EE7"/>
    <w:rsid w:val="00744667"/>
    <w:rsid w:val="00744AFF"/>
    <w:rsid w:val="0075195B"/>
    <w:rsid w:val="00764CB2"/>
    <w:rsid w:val="00774A74"/>
    <w:rsid w:val="00780D8E"/>
    <w:rsid w:val="007B01E8"/>
    <w:rsid w:val="007B17FC"/>
    <w:rsid w:val="007D6492"/>
    <w:rsid w:val="007D771E"/>
    <w:rsid w:val="007E2039"/>
    <w:rsid w:val="007E3CF4"/>
    <w:rsid w:val="00814580"/>
    <w:rsid w:val="008544F6"/>
    <w:rsid w:val="00857770"/>
    <w:rsid w:val="00862E13"/>
    <w:rsid w:val="00863EC6"/>
    <w:rsid w:val="00891128"/>
    <w:rsid w:val="0089124E"/>
    <w:rsid w:val="008965F7"/>
    <w:rsid w:val="008B0EE9"/>
    <w:rsid w:val="008B1F30"/>
    <w:rsid w:val="008B3D5B"/>
    <w:rsid w:val="008B6520"/>
    <w:rsid w:val="008D0664"/>
    <w:rsid w:val="008E580F"/>
    <w:rsid w:val="0091114F"/>
    <w:rsid w:val="00915F35"/>
    <w:rsid w:val="00923943"/>
    <w:rsid w:val="00927CF1"/>
    <w:rsid w:val="0093066C"/>
    <w:rsid w:val="00940BF2"/>
    <w:rsid w:val="0094209D"/>
    <w:rsid w:val="00945332"/>
    <w:rsid w:val="00951A2D"/>
    <w:rsid w:val="009601F3"/>
    <w:rsid w:val="00971638"/>
    <w:rsid w:val="00990092"/>
    <w:rsid w:val="00995D53"/>
    <w:rsid w:val="009B4D3F"/>
    <w:rsid w:val="009B4E2F"/>
    <w:rsid w:val="009B76DB"/>
    <w:rsid w:val="009C00EE"/>
    <w:rsid w:val="009C3815"/>
    <w:rsid w:val="009D01DB"/>
    <w:rsid w:val="009D0246"/>
    <w:rsid w:val="009D5CAF"/>
    <w:rsid w:val="009E32AA"/>
    <w:rsid w:val="009E4231"/>
    <w:rsid w:val="009F0DCE"/>
    <w:rsid w:val="009F1107"/>
    <w:rsid w:val="00A05064"/>
    <w:rsid w:val="00A268EB"/>
    <w:rsid w:val="00A47090"/>
    <w:rsid w:val="00A50833"/>
    <w:rsid w:val="00A51278"/>
    <w:rsid w:val="00A6701D"/>
    <w:rsid w:val="00A67203"/>
    <w:rsid w:val="00A766D0"/>
    <w:rsid w:val="00A775E4"/>
    <w:rsid w:val="00AB3FEC"/>
    <w:rsid w:val="00B06BB4"/>
    <w:rsid w:val="00B11B75"/>
    <w:rsid w:val="00B173F9"/>
    <w:rsid w:val="00B2736B"/>
    <w:rsid w:val="00B33D1B"/>
    <w:rsid w:val="00B46E58"/>
    <w:rsid w:val="00B46EC5"/>
    <w:rsid w:val="00B646B3"/>
    <w:rsid w:val="00B82C3E"/>
    <w:rsid w:val="00B94ACA"/>
    <w:rsid w:val="00B9553B"/>
    <w:rsid w:val="00B972CA"/>
    <w:rsid w:val="00BA1AB0"/>
    <w:rsid w:val="00BC19DC"/>
    <w:rsid w:val="00BE0B58"/>
    <w:rsid w:val="00BE1FB6"/>
    <w:rsid w:val="00BE5551"/>
    <w:rsid w:val="00C11622"/>
    <w:rsid w:val="00C1372E"/>
    <w:rsid w:val="00C143D4"/>
    <w:rsid w:val="00C23A14"/>
    <w:rsid w:val="00C262B3"/>
    <w:rsid w:val="00C30675"/>
    <w:rsid w:val="00C329CF"/>
    <w:rsid w:val="00C37639"/>
    <w:rsid w:val="00C37CE4"/>
    <w:rsid w:val="00C40149"/>
    <w:rsid w:val="00C53A5C"/>
    <w:rsid w:val="00C555DC"/>
    <w:rsid w:val="00C5728C"/>
    <w:rsid w:val="00C81283"/>
    <w:rsid w:val="00C94F9D"/>
    <w:rsid w:val="00C96874"/>
    <w:rsid w:val="00CA4AF3"/>
    <w:rsid w:val="00CB248F"/>
    <w:rsid w:val="00CC02C8"/>
    <w:rsid w:val="00CC310E"/>
    <w:rsid w:val="00CE0E14"/>
    <w:rsid w:val="00CF3541"/>
    <w:rsid w:val="00CF6C8A"/>
    <w:rsid w:val="00D03001"/>
    <w:rsid w:val="00D1452D"/>
    <w:rsid w:val="00D17048"/>
    <w:rsid w:val="00D65543"/>
    <w:rsid w:val="00D74B78"/>
    <w:rsid w:val="00D77EB4"/>
    <w:rsid w:val="00D86BEB"/>
    <w:rsid w:val="00D923CD"/>
    <w:rsid w:val="00DA2B6E"/>
    <w:rsid w:val="00DB7D1E"/>
    <w:rsid w:val="00DC37C1"/>
    <w:rsid w:val="00DD4205"/>
    <w:rsid w:val="00DE6C9E"/>
    <w:rsid w:val="00DF1760"/>
    <w:rsid w:val="00E01868"/>
    <w:rsid w:val="00E13199"/>
    <w:rsid w:val="00E1678E"/>
    <w:rsid w:val="00E204B0"/>
    <w:rsid w:val="00E36D72"/>
    <w:rsid w:val="00E37C04"/>
    <w:rsid w:val="00E40E00"/>
    <w:rsid w:val="00E41726"/>
    <w:rsid w:val="00E72181"/>
    <w:rsid w:val="00E74DAB"/>
    <w:rsid w:val="00E843CF"/>
    <w:rsid w:val="00E94936"/>
    <w:rsid w:val="00E953AC"/>
    <w:rsid w:val="00EA1903"/>
    <w:rsid w:val="00EA3340"/>
    <w:rsid w:val="00EA4CEB"/>
    <w:rsid w:val="00EB37BE"/>
    <w:rsid w:val="00EB757C"/>
    <w:rsid w:val="00ED1119"/>
    <w:rsid w:val="00EE3265"/>
    <w:rsid w:val="00F0557F"/>
    <w:rsid w:val="00F105D5"/>
    <w:rsid w:val="00F12461"/>
    <w:rsid w:val="00F131E8"/>
    <w:rsid w:val="00F14454"/>
    <w:rsid w:val="00F159A1"/>
    <w:rsid w:val="00F23510"/>
    <w:rsid w:val="00F34B29"/>
    <w:rsid w:val="00F35C95"/>
    <w:rsid w:val="00F51C17"/>
    <w:rsid w:val="00F520B4"/>
    <w:rsid w:val="00F554B8"/>
    <w:rsid w:val="00F57CB1"/>
    <w:rsid w:val="00F61496"/>
    <w:rsid w:val="00F91E8E"/>
    <w:rsid w:val="00F92D2E"/>
    <w:rsid w:val="00F97C7D"/>
    <w:rsid w:val="00FB2363"/>
    <w:rsid w:val="00FB5130"/>
    <w:rsid w:val="00FC5412"/>
    <w:rsid w:val="00FD0E5D"/>
    <w:rsid w:val="00FD6EE4"/>
    <w:rsid w:val="00FE1C36"/>
    <w:rsid w:val="00FE6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42310734"/>
  <w15:docId w15:val="{3B1BD57D-1D27-48C8-AACA-EC8F679B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Emphasis">
    <w:name w:val="Emphasis"/>
    <w:basedOn w:val="DefaultParagraphFont"/>
    <w:uiPriority w:val="20"/>
    <w:qFormat/>
    <w:rsid w:val="000B729F"/>
    <w:rPr>
      <w:i/>
      <w:iCs/>
    </w:rPr>
  </w:style>
  <w:style w:type="character" w:customStyle="1" w:styleId="HeaderChar">
    <w:name w:val="Header Char"/>
    <w:basedOn w:val="DefaultParagraphFont"/>
    <w:link w:val="Header"/>
    <w:rsid w:val="00891128"/>
    <w:rPr>
      <w:sz w:val="24"/>
      <w:szCs w:val="24"/>
    </w:rPr>
  </w:style>
  <w:style w:type="character" w:styleId="FollowedHyperlink">
    <w:name w:val="FollowedHyperlink"/>
    <w:basedOn w:val="DefaultParagraphFont"/>
    <w:semiHidden/>
    <w:unhideWhenUsed/>
    <w:rsid w:val="00374D74"/>
    <w:rPr>
      <w:color w:val="800080" w:themeColor="followedHyperlink"/>
      <w:u w:val="single"/>
    </w:rPr>
  </w:style>
  <w:style w:type="paragraph" w:styleId="Revision">
    <w:name w:val="Revision"/>
    <w:hidden/>
    <w:uiPriority w:val="99"/>
    <w:semiHidden/>
    <w:rsid w:val="00EA33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69360996">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 w:id="20078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vanessa.cornell@smithgroupjjr.com" TargetMode="External"/><Relationship Id="rId18" Type="http://schemas.openxmlformats.org/officeDocument/2006/relationships/hyperlink" Target="https://network.aia.org/committeeonarchitectureforeducation/home/awards" TargetMode="External"/><Relationship Id="rId26" Type="http://schemas.openxmlformats.org/officeDocument/2006/relationships/hyperlink" Target="http://www.smithgroupjjr.com/" TargetMode="External"/><Relationship Id="rId3" Type="http://schemas.openxmlformats.org/officeDocument/2006/relationships/customXml" Target="../customXml/item3.xml"/><Relationship Id="rId21" Type="http://schemas.openxmlformats.org/officeDocument/2006/relationships/hyperlink" Target="http://www.smithgroupjjr.com/people/mark-kranz"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etwork.aia.org/committeeonarchitectureforeducation/home" TargetMode="External"/><Relationship Id="rId25" Type="http://schemas.openxmlformats.org/officeDocument/2006/relationships/hyperlink" Target="http://www.smithgroupjjr.com/projects/defense-pow-mia-accounting-agency-s-forensic-identification-laboratory" TargetMode="External"/><Relationship Id="rId2" Type="http://schemas.openxmlformats.org/officeDocument/2006/relationships/customXml" Target="../customXml/item2.xml"/><Relationship Id="rId16" Type="http://schemas.openxmlformats.org/officeDocument/2006/relationships/hyperlink" Target="https://www.aia.org/" TargetMode="External"/><Relationship Id="rId20" Type="http://schemas.openxmlformats.org/officeDocument/2006/relationships/hyperlink" Target="https://www.aia.org/resources/145621-justice-facilities-review-201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mithgroupjjr.com/projects/stephen-a-levin-building" TargetMode="External"/><Relationship Id="rId5" Type="http://schemas.openxmlformats.org/officeDocument/2006/relationships/customXml" Target="../customXml/item5.xml"/><Relationship Id="rId15" Type="http://schemas.openxmlformats.org/officeDocument/2006/relationships/hyperlink" Target="http://www.smithgroupjjr.com/" TargetMode="External"/><Relationship Id="rId23" Type="http://schemas.openxmlformats.org/officeDocument/2006/relationships/hyperlink" Target="https://www.labdesignnews.com/news/2016/05/academic-buildings-take-top-honors-laboratory-year-awards?__hstc=20249895.523d1d44623096593cfe51aea33e5b05.1504807999034.1504807999034.1504807999034.1&amp;__hssc=20249895.2.1504807999035&amp;__hsfp=3404604552"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network.aia.org/academyofarchitectureforjustice/hom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ara.hoeksema@smithgroupjjr.com" TargetMode="External"/><Relationship Id="rId22" Type="http://schemas.openxmlformats.org/officeDocument/2006/relationships/hyperlink" Target="http://www.smithgroupjjr.com/projects/electrical-and-computer-engineering-building"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cc683e8-73c6-4e4a-9669-2ccef78d289e" ContentTypeId="0x0101003316431294338244984AD69F4D69FD19"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48C17-1DE8-4107-9A94-EA676FD7BB37}">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1104bbf5-1a67-4839-a4ee-35637f0f6968"/>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3.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4.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6.xml><?xml version="1.0" encoding="utf-8"?>
<ds:datastoreItem xmlns:ds="http://schemas.openxmlformats.org/officeDocument/2006/customXml" ds:itemID="{0A62D9C2-9907-4543-A523-2A74F547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680</Words>
  <Characters>5596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5</cp:revision>
  <cp:lastPrinted>2004-06-21T21:57:00Z</cp:lastPrinted>
  <dcterms:created xsi:type="dcterms:W3CDTF">2017-09-19T15:53:00Z</dcterms:created>
  <dcterms:modified xsi:type="dcterms:W3CDTF">2017-09-19T20:05:00Z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