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2120" w14:textId="048D52A4" w:rsidR="000B4DF8" w:rsidRPr="005A65F7" w:rsidRDefault="0074316B" w:rsidP="00763D05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Poseida</w:t>
      </w:r>
      <w:proofErr w:type="spellEnd"/>
      <w:r>
        <w:rPr>
          <w:b/>
        </w:rPr>
        <w:t xml:space="preserve"> </w:t>
      </w:r>
      <w:r w:rsidRPr="005A65F7">
        <w:rPr>
          <w:b/>
        </w:rPr>
        <w:t xml:space="preserve">Therapeutics Presents Preclinical Solid Tumor Data </w:t>
      </w:r>
      <w:r w:rsidR="00A74F47" w:rsidRPr="005A65F7">
        <w:rPr>
          <w:b/>
        </w:rPr>
        <w:t>for</w:t>
      </w:r>
      <w:r w:rsidRPr="005A65F7">
        <w:rPr>
          <w:b/>
        </w:rPr>
        <w:t xml:space="preserve"> P-PSMA-101 at</w:t>
      </w:r>
      <w:r w:rsidR="001E19E0" w:rsidRPr="005A65F7">
        <w:rPr>
          <w:b/>
        </w:rPr>
        <w:t xml:space="preserve"> the American Association for Cancer Research Prostate Cancer</w:t>
      </w:r>
      <w:r w:rsidR="0043157A" w:rsidRPr="005A65F7">
        <w:rPr>
          <w:b/>
        </w:rPr>
        <w:t xml:space="preserve"> </w:t>
      </w:r>
      <w:r w:rsidR="001E19E0" w:rsidRPr="005A65F7">
        <w:rPr>
          <w:b/>
        </w:rPr>
        <w:t xml:space="preserve">Meeting </w:t>
      </w:r>
    </w:p>
    <w:p w14:paraId="315AD0BC" w14:textId="402842B5" w:rsidR="001E19E0" w:rsidRDefault="002C79D9" w:rsidP="00E52D90">
      <w:pPr>
        <w:spacing w:after="0" w:line="240" w:lineRule="auto"/>
      </w:pPr>
      <w:r w:rsidRPr="005A65F7">
        <w:rPr>
          <w:b/>
        </w:rPr>
        <w:t xml:space="preserve">SAN DIEGO, </w:t>
      </w:r>
      <w:r w:rsidR="001E19E0" w:rsidRPr="005A65F7">
        <w:rPr>
          <w:b/>
        </w:rPr>
        <w:t>Dec</w:t>
      </w:r>
      <w:r w:rsidRPr="005A65F7">
        <w:rPr>
          <w:b/>
        </w:rPr>
        <w:t xml:space="preserve">. </w:t>
      </w:r>
      <w:r w:rsidR="001E19E0" w:rsidRPr="005A65F7">
        <w:rPr>
          <w:b/>
        </w:rPr>
        <w:t>5</w:t>
      </w:r>
      <w:r w:rsidR="00625F87" w:rsidRPr="005A65F7">
        <w:rPr>
          <w:b/>
        </w:rPr>
        <w:t>,</w:t>
      </w:r>
      <w:r w:rsidR="00763D05" w:rsidRPr="005A65F7">
        <w:rPr>
          <w:b/>
        </w:rPr>
        <w:t xml:space="preserve"> 2017</w:t>
      </w:r>
      <w:r w:rsidR="000B4DF8" w:rsidRPr="005A65F7">
        <w:t xml:space="preserve"> </w:t>
      </w:r>
      <w:r w:rsidRPr="005A65F7">
        <w:t xml:space="preserve">— </w:t>
      </w:r>
      <w:proofErr w:type="spellStart"/>
      <w:r w:rsidR="000B4DF8" w:rsidRPr="005A65F7">
        <w:t>Poseida</w:t>
      </w:r>
      <w:proofErr w:type="spellEnd"/>
      <w:r w:rsidR="000B4DF8" w:rsidRPr="005A65F7">
        <w:t xml:space="preserve"> Therapeutics Inc. (“</w:t>
      </w:r>
      <w:proofErr w:type="spellStart"/>
      <w:r w:rsidR="000B4DF8" w:rsidRPr="005A65F7">
        <w:t>Poseida</w:t>
      </w:r>
      <w:proofErr w:type="spellEnd"/>
      <w:r w:rsidR="000B4DF8" w:rsidRPr="005A65F7">
        <w:t xml:space="preserve">”), a San Diego-based company translating best-in-class gene </w:t>
      </w:r>
      <w:r w:rsidR="00441DA7">
        <w:t>engineering</w:t>
      </w:r>
      <w:r w:rsidR="008011D7" w:rsidRPr="005A65F7">
        <w:t xml:space="preserve"> </w:t>
      </w:r>
      <w:r w:rsidR="000B4DF8" w:rsidRPr="005A65F7">
        <w:t xml:space="preserve">technologies into lifesaving </w:t>
      </w:r>
      <w:r w:rsidR="00BA7180" w:rsidRPr="005A65F7">
        <w:t>cell therapies</w:t>
      </w:r>
      <w:r w:rsidR="000B4DF8" w:rsidRPr="005A65F7">
        <w:t>,</w:t>
      </w:r>
      <w:r w:rsidR="00603EA3" w:rsidRPr="005A65F7">
        <w:t xml:space="preserve"> today </w:t>
      </w:r>
      <w:r w:rsidR="001E19E0" w:rsidRPr="005A65F7">
        <w:t>presented preclinical data on P-PSMA-101, the company’s PSMA-specific chimeric antigen receptor T cell (CAR-T) stem cell memory drug candidate for the treatment of prostate cancer</w:t>
      </w:r>
      <w:r w:rsidR="0043157A" w:rsidRPr="005A65F7">
        <w:t>. P-PSMA-101</w:t>
      </w:r>
      <w:r w:rsidR="001E19E0" w:rsidRPr="005A65F7">
        <w:t xml:space="preserve"> </w:t>
      </w:r>
      <w:r w:rsidR="00F64263" w:rsidRPr="005A65F7">
        <w:t>demonstrat</w:t>
      </w:r>
      <w:r w:rsidR="0043157A" w:rsidRPr="005A65F7">
        <w:t>ed</w:t>
      </w:r>
      <w:r w:rsidR="001E19E0" w:rsidRPr="005A65F7">
        <w:t xml:space="preserve"> </w:t>
      </w:r>
      <w:r w:rsidR="00F64263" w:rsidRPr="005A65F7">
        <w:t xml:space="preserve">potent anti-tumor efficacy, </w:t>
      </w:r>
      <w:r w:rsidR="0043157A" w:rsidRPr="005A65F7">
        <w:t xml:space="preserve">a </w:t>
      </w:r>
      <w:r w:rsidR="00F64263" w:rsidRPr="005A65F7">
        <w:t xml:space="preserve">persistently high </w:t>
      </w:r>
      <w:r w:rsidR="00441DA7">
        <w:t>percentage</w:t>
      </w:r>
      <w:r w:rsidR="00441DA7" w:rsidRPr="005A65F7">
        <w:t xml:space="preserve"> </w:t>
      </w:r>
      <w:r w:rsidR="00F64263" w:rsidRPr="005A65F7">
        <w:t>of the highly desirable stem cell memory T cell subtype (</w:t>
      </w:r>
      <w:proofErr w:type="spellStart"/>
      <w:r w:rsidR="00F64263" w:rsidRPr="005A65F7">
        <w:t>Tscm</w:t>
      </w:r>
      <w:proofErr w:type="spellEnd"/>
      <w:r w:rsidR="00F64263" w:rsidRPr="005A65F7">
        <w:t xml:space="preserve">) and </w:t>
      </w:r>
      <w:r w:rsidR="00E0374A" w:rsidRPr="005A65F7">
        <w:t>no detectable tonic signaling or T</w:t>
      </w:r>
      <w:r w:rsidR="00441DA7">
        <w:t xml:space="preserve"> </w:t>
      </w:r>
      <w:r w:rsidR="00E0374A" w:rsidRPr="005A65F7">
        <w:t xml:space="preserve">cell exhaustion. </w:t>
      </w:r>
      <w:r w:rsidR="00FA6FB7" w:rsidRPr="005A65F7">
        <w:t>Additionally, researchers found that P-PSMA-101</w:t>
      </w:r>
      <w:r w:rsidR="00441DA7">
        <w:t>-</w:t>
      </w:r>
      <w:r w:rsidR="00FA6FB7" w:rsidRPr="005A65F7">
        <w:t xml:space="preserve">modified T cells persisted even after tumor elimination beyond detectable levels. The study was </w:t>
      </w:r>
      <w:r w:rsidR="00E0374A" w:rsidRPr="005A65F7">
        <w:t>selected for oral presentation</w:t>
      </w:r>
      <w:r w:rsidR="00E0374A">
        <w:t xml:space="preserve"> today at the American Association for Cancer Research Prostate Cancer: Advances in Basic, Translational, and Clinical Research meeting in Orlando, Florida.   </w:t>
      </w:r>
    </w:p>
    <w:p w14:paraId="12AC1193" w14:textId="77777777" w:rsidR="006E5D5D" w:rsidRDefault="006E5D5D" w:rsidP="00E52D90">
      <w:pPr>
        <w:spacing w:after="0" w:line="240" w:lineRule="auto"/>
      </w:pPr>
    </w:p>
    <w:p w14:paraId="6E2B0240" w14:textId="6321FFF7" w:rsidR="006E5D5D" w:rsidRDefault="00642A28" w:rsidP="00E52D90">
      <w:pPr>
        <w:spacing w:after="0" w:line="240" w:lineRule="auto"/>
      </w:pPr>
      <w:r>
        <w:t xml:space="preserve">P-PSMA-101 was evaluated in </w:t>
      </w:r>
      <w:r w:rsidR="00AB401E">
        <w:t xml:space="preserve">two distinctive models of prostate cancer in immune deficient mice. The first utilized </w:t>
      </w:r>
      <w:r w:rsidR="00EB741D">
        <w:t xml:space="preserve">an androgen-sensitive human prostate adenocarcinoma cell line, called LNCaP, </w:t>
      </w:r>
      <w:r w:rsidR="00FB68A5">
        <w:t>administered subcutaneously</w:t>
      </w:r>
      <w:r w:rsidR="00EB741D">
        <w:t xml:space="preserve"> </w:t>
      </w:r>
      <w:r w:rsidR="00FB68A5">
        <w:t>as a solid tumor</w:t>
      </w:r>
      <w:r w:rsidR="00AB401E">
        <w:t>.</w:t>
      </w:r>
      <w:r w:rsidR="00FB68A5">
        <w:t xml:space="preserve"> </w:t>
      </w:r>
      <w:r w:rsidR="006329FF">
        <w:t xml:space="preserve">The </w:t>
      </w:r>
      <w:r w:rsidR="00AB401E">
        <w:t xml:space="preserve">second evaluated anti-tumor efficacy in a bone metastasis model using an androgen insensitive human prostate cell line called PC3.hPSMA. Both studies </w:t>
      </w:r>
      <w:r w:rsidR="006329FF">
        <w:t>also compared P-PSMA-101 with a version of a traditional single-chain variable fragment (</w:t>
      </w:r>
      <w:proofErr w:type="spellStart"/>
      <w:r w:rsidR="006329FF">
        <w:t>scFv</w:t>
      </w:r>
      <w:proofErr w:type="spellEnd"/>
      <w:r w:rsidR="006329FF">
        <w:t>)</w:t>
      </w:r>
      <w:r w:rsidR="00AB401E">
        <w:t>-based anti-PSMA CAR-T (</w:t>
      </w:r>
      <w:r w:rsidR="006329FF">
        <w:t>J591</w:t>
      </w:r>
      <w:r w:rsidR="00AB401E">
        <w:t>) that has been tested clinically</w:t>
      </w:r>
      <w:r w:rsidR="006329FF">
        <w:t>.</w:t>
      </w:r>
    </w:p>
    <w:p w14:paraId="42BC008F" w14:textId="77777777" w:rsidR="00FB68A5" w:rsidRDefault="00FB68A5" w:rsidP="00E52D90">
      <w:pPr>
        <w:spacing w:after="0" w:line="240" w:lineRule="auto"/>
      </w:pPr>
    </w:p>
    <w:p w14:paraId="0C082AE6" w14:textId="2A6581EB" w:rsidR="001E19E0" w:rsidRDefault="00FB68A5" w:rsidP="00E52D90">
      <w:pPr>
        <w:spacing w:after="0" w:line="240" w:lineRule="auto"/>
      </w:pPr>
      <w:r>
        <w:t>“</w:t>
      </w:r>
      <w:r w:rsidR="00FC4DF4">
        <w:t>In</w:t>
      </w:r>
      <w:r w:rsidR="006329FF">
        <w:t xml:space="preserve"> addition to decreasing the tumor burden below detectable levels, P-PSMA-101 persisted in the peripheral blood with greater than 70% of T cells exhibiting a </w:t>
      </w:r>
      <w:proofErr w:type="spellStart"/>
      <w:r w:rsidR="006329FF">
        <w:t>Tscm</w:t>
      </w:r>
      <w:proofErr w:type="spellEnd"/>
      <w:r w:rsidR="006329FF">
        <w:t xml:space="preserve"> phenotype,” said Eric Ostertag, M.D., Ph.D., founder and CEO at </w:t>
      </w:r>
      <w:proofErr w:type="spellStart"/>
      <w:r w:rsidR="006329FF">
        <w:t>Poseida</w:t>
      </w:r>
      <w:proofErr w:type="spellEnd"/>
      <w:r w:rsidR="006329FF">
        <w:t>. “</w:t>
      </w:r>
      <w:r w:rsidR="0043157A">
        <w:t xml:space="preserve">We are encouraged </w:t>
      </w:r>
      <w:r w:rsidR="00FA6FB7">
        <w:t xml:space="preserve">that </w:t>
      </w:r>
      <w:r w:rsidR="0043157A">
        <w:t xml:space="preserve">P-PSMA-101 anti-tumor potency </w:t>
      </w:r>
      <w:r w:rsidR="00956B31">
        <w:t>against PC3</w:t>
      </w:r>
      <w:r w:rsidR="00015C54">
        <w:t>,</w:t>
      </w:r>
      <w:r w:rsidR="00956B31">
        <w:t xml:space="preserve"> a cell line engineered to express human PSMA, </w:t>
      </w:r>
      <w:r w:rsidR="0043157A">
        <w:t xml:space="preserve">was seen at a dose three times lower than </w:t>
      </w:r>
      <w:r w:rsidR="00FA6FB7">
        <w:t xml:space="preserve">a </w:t>
      </w:r>
      <w:r w:rsidR="0043157A">
        <w:t xml:space="preserve">comparable </w:t>
      </w:r>
      <w:r w:rsidR="00FA6FB7">
        <w:t>anti-</w:t>
      </w:r>
      <w:r w:rsidR="0043157A">
        <w:t xml:space="preserve">PSMA CAR-T </w:t>
      </w:r>
      <w:r w:rsidR="00AB401E">
        <w:t xml:space="preserve">binder </w:t>
      </w:r>
      <w:r w:rsidR="0043157A">
        <w:t xml:space="preserve">in clinical development. </w:t>
      </w:r>
      <w:r w:rsidR="00956B31">
        <w:t xml:space="preserve">Furthermore, P-PSMA-101 </w:t>
      </w:r>
      <w:r w:rsidR="00956B31" w:rsidRPr="00956B31">
        <w:t>reduced LNCaP tumor</w:t>
      </w:r>
      <w:r w:rsidR="00015C54">
        <w:t xml:space="preserve">, a </w:t>
      </w:r>
      <w:r w:rsidR="00CC7A36">
        <w:t>naturally</w:t>
      </w:r>
      <w:r w:rsidR="00015C54">
        <w:t xml:space="preserve"> PSMA</w:t>
      </w:r>
      <w:r w:rsidR="00CC7A36">
        <w:t>-</w:t>
      </w:r>
      <w:r w:rsidR="00015C54">
        <w:t>expressing cell line,</w:t>
      </w:r>
      <w:r w:rsidR="00956B31" w:rsidRPr="00956B31">
        <w:t xml:space="preserve"> to </w:t>
      </w:r>
      <w:r w:rsidR="00441DA7">
        <w:t xml:space="preserve">below </w:t>
      </w:r>
      <w:r w:rsidR="00956B31" w:rsidRPr="00956B31">
        <w:t xml:space="preserve">the limit of detection </w:t>
      </w:r>
      <w:r w:rsidR="00956B31">
        <w:t xml:space="preserve">whereas </w:t>
      </w:r>
      <w:r w:rsidR="00956B31" w:rsidRPr="00956B31">
        <w:t>J591 did not significantly control tumor burden</w:t>
      </w:r>
      <w:r w:rsidR="00956B31">
        <w:t xml:space="preserve">. </w:t>
      </w:r>
      <w:r w:rsidR="0043157A">
        <w:t xml:space="preserve">These findings in a solid tumor model are consistent with the finding we’ve seen with our </w:t>
      </w:r>
      <w:r w:rsidR="00FA6FB7">
        <w:t>anti-</w:t>
      </w:r>
      <w:r w:rsidR="0043157A">
        <w:t>BCMA program in hematologic cancers.</w:t>
      </w:r>
      <w:r w:rsidR="006329FF">
        <w:t>”</w:t>
      </w:r>
    </w:p>
    <w:p w14:paraId="60EA3EAF" w14:textId="24A64BDD" w:rsidR="00FB754A" w:rsidRDefault="00FB754A" w:rsidP="00E52D90">
      <w:pPr>
        <w:spacing w:after="0" w:line="240" w:lineRule="auto"/>
      </w:pPr>
    </w:p>
    <w:p w14:paraId="2C4899F6" w14:textId="1B2308E4" w:rsidR="00FC4DF4" w:rsidRDefault="00FC4DF4" w:rsidP="00FC4DF4">
      <w:pPr>
        <w:spacing w:after="0" w:line="240" w:lineRule="auto"/>
      </w:pPr>
      <w:proofErr w:type="spellStart"/>
      <w:r>
        <w:t>Poseida’s</w:t>
      </w:r>
      <w:proofErr w:type="spellEnd"/>
      <w:r>
        <w:t xml:space="preserve"> CAR-T modifications are engineered using its proprietary piggyBac™ non-viral gene delivery system and fully-human </w:t>
      </w:r>
      <w:proofErr w:type="spellStart"/>
      <w:r>
        <w:t>Centyrin</w:t>
      </w:r>
      <w:proofErr w:type="spellEnd"/>
      <w:r>
        <w:t xml:space="preserve">™ binding domain, which enables a streamlined and scalable manufacturing process that does not employ viruses, cytokines or magnetic beads and consistently produces high concentrations of modified T cells necessary to treat patients. This process yields an exceptionally high percentage (&gt;70%) of the highly desirable </w:t>
      </w:r>
      <w:proofErr w:type="spellStart"/>
      <w:r>
        <w:t>Tscm</w:t>
      </w:r>
      <w:proofErr w:type="spellEnd"/>
      <w:r w:rsidR="00165FC9">
        <w:t xml:space="preserve"> phenotype</w:t>
      </w:r>
      <w:r w:rsidR="005A65F7">
        <w:t xml:space="preserve">, an early memory population that </w:t>
      </w:r>
      <w:r w:rsidR="005A65F7" w:rsidRPr="005A65F7">
        <w:t>correlates with complete responses in CD19 CAR T cell clinical trials.</w:t>
      </w:r>
      <w:r w:rsidRPr="005A65F7">
        <w:t xml:space="preserve"> In contrast, competitor products typically report 0-20% </w:t>
      </w:r>
      <w:proofErr w:type="spellStart"/>
      <w:r w:rsidRPr="005A65F7">
        <w:t>Tscm</w:t>
      </w:r>
      <w:proofErr w:type="spellEnd"/>
      <w:r w:rsidRPr="005A65F7">
        <w:t xml:space="preserve"> cells. </w:t>
      </w:r>
    </w:p>
    <w:p w14:paraId="78473B1F" w14:textId="77777777" w:rsidR="00FC4DF4" w:rsidRDefault="00FC4DF4" w:rsidP="00FC4DF4">
      <w:pPr>
        <w:spacing w:after="0" w:line="240" w:lineRule="auto"/>
      </w:pPr>
    </w:p>
    <w:p w14:paraId="2033FD31" w14:textId="16E73492" w:rsidR="00FC4DF4" w:rsidRDefault="00FC4DF4" w:rsidP="009E3544">
      <w:pPr>
        <w:spacing w:after="0" w:line="240" w:lineRule="auto"/>
        <w:rPr>
          <w:rFonts w:cstheme="minorHAnsi"/>
        </w:rPr>
      </w:pPr>
      <w:r>
        <w:rPr>
          <w:rFonts w:cstheme="minorHAnsi"/>
        </w:rPr>
        <w:t>Key findings include:</w:t>
      </w:r>
    </w:p>
    <w:p w14:paraId="3B591BEA" w14:textId="77777777" w:rsidR="00345D9D" w:rsidRDefault="00345D9D" w:rsidP="009E3544">
      <w:pPr>
        <w:spacing w:after="0" w:line="240" w:lineRule="auto"/>
        <w:rPr>
          <w:rFonts w:cstheme="minorHAnsi"/>
        </w:rPr>
      </w:pPr>
    </w:p>
    <w:p w14:paraId="3ED87225" w14:textId="5DD46BDC" w:rsidR="00FC4DF4" w:rsidRDefault="00FC4DF4" w:rsidP="00FC4DF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345D9D">
        <w:rPr>
          <w:rFonts w:cstheme="minorHAnsi"/>
          <w:b/>
        </w:rPr>
        <w:t>Potent anti-tumor activity:</w:t>
      </w:r>
      <w:r>
        <w:rPr>
          <w:rFonts w:cstheme="minorHAnsi"/>
        </w:rPr>
        <w:t xml:space="preserve"> </w:t>
      </w:r>
      <w:r w:rsidR="00AB401E">
        <w:rPr>
          <w:rFonts w:cstheme="minorHAnsi"/>
        </w:rPr>
        <w:t xml:space="preserve">Low dose </w:t>
      </w:r>
      <w:r w:rsidR="00345D9D">
        <w:rPr>
          <w:rFonts w:cstheme="minorHAnsi"/>
        </w:rPr>
        <w:t xml:space="preserve">P-PSMA-101 treatment reduced </w:t>
      </w:r>
      <w:r w:rsidR="00956B31">
        <w:rPr>
          <w:rFonts w:cstheme="minorHAnsi"/>
        </w:rPr>
        <w:t xml:space="preserve">LNCaP </w:t>
      </w:r>
      <w:r w:rsidR="002B2B71">
        <w:rPr>
          <w:rFonts w:cstheme="minorHAnsi"/>
        </w:rPr>
        <w:t xml:space="preserve">and PC3.hPSMA </w:t>
      </w:r>
      <w:r w:rsidR="00345D9D">
        <w:rPr>
          <w:rFonts w:cstheme="minorHAnsi"/>
        </w:rPr>
        <w:t xml:space="preserve">tumor burden to the limit of detection for </w:t>
      </w:r>
      <w:r w:rsidR="00AB401E">
        <w:rPr>
          <w:rFonts w:cstheme="minorHAnsi"/>
        </w:rPr>
        <w:t>30</w:t>
      </w:r>
      <w:r w:rsidR="002B2B71">
        <w:rPr>
          <w:rFonts w:cstheme="minorHAnsi"/>
        </w:rPr>
        <w:t xml:space="preserve"> or</w:t>
      </w:r>
      <w:r w:rsidR="00165FC9">
        <w:rPr>
          <w:rFonts w:cstheme="minorHAnsi"/>
        </w:rPr>
        <w:t xml:space="preserve"> </w:t>
      </w:r>
      <w:r w:rsidR="00345D9D">
        <w:rPr>
          <w:rFonts w:cstheme="minorHAnsi"/>
        </w:rPr>
        <w:t xml:space="preserve">42 days, the duration of the </w:t>
      </w:r>
      <w:r w:rsidR="002B2B71">
        <w:rPr>
          <w:rFonts w:cstheme="minorHAnsi"/>
        </w:rPr>
        <w:t xml:space="preserve">respective </w:t>
      </w:r>
      <w:r w:rsidR="00345D9D">
        <w:rPr>
          <w:rFonts w:cstheme="minorHAnsi"/>
        </w:rPr>
        <w:t>studies. Conversely, J591 did not significantly control tumor burden</w:t>
      </w:r>
      <w:r w:rsidR="002B2B71">
        <w:rPr>
          <w:rFonts w:cstheme="minorHAnsi"/>
        </w:rPr>
        <w:t xml:space="preserve"> at the same dose in either study</w:t>
      </w:r>
      <w:r w:rsidR="00345D9D">
        <w:rPr>
          <w:rFonts w:cstheme="minorHAnsi"/>
        </w:rPr>
        <w:t xml:space="preserve">.  </w:t>
      </w:r>
    </w:p>
    <w:p w14:paraId="04257776" w14:textId="6F99C8CB" w:rsidR="00FC4DF4" w:rsidRPr="00D55919" w:rsidRDefault="00FC4DF4" w:rsidP="00FC4DF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D55919">
        <w:rPr>
          <w:rFonts w:cstheme="minorHAnsi"/>
          <w:b/>
        </w:rPr>
        <w:t>Persistent and durable response:</w:t>
      </w:r>
      <w:r w:rsidR="00D55919">
        <w:rPr>
          <w:rFonts w:cstheme="minorHAnsi"/>
          <w:b/>
        </w:rPr>
        <w:t xml:space="preserve"> </w:t>
      </w:r>
      <w:r w:rsidR="00D55919">
        <w:rPr>
          <w:rFonts w:cstheme="minorHAnsi"/>
        </w:rPr>
        <w:t>P-PSMA-101 gi</w:t>
      </w:r>
      <w:r w:rsidR="00485414">
        <w:rPr>
          <w:rFonts w:cstheme="minorHAnsi"/>
        </w:rPr>
        <w:t>ves rise to differentiated effector T cells and persists in treated mice</w:t>
      </w:r>
      <w:r w:rsidR="004314B4">
        <w:rPr>
          <w:rFonts w:cstheme="minorHAnsi"/>
        </w:rPr>
        <w:t xml:space="preserve">. </w:t>
      </w:r>
      <w:r w:rsidR="00485414">
        <w:rPr>
          <w:rFonts w:cstheme="minorHAnsi"/>
        </w:rPr>
        <w:t xml:space="preserve">Once the tumor was completely eliminated, P-PSMA-101 then contracted, yet persisted with the majority of T cells exhibiting a </w:t>
      </w:r>
      <w:proofErr w:type="spellStart"/>
      <w:r w:rsidR="00485414">
        <w:rPr>
          <w:rFonts w:cstheme="minorHAnsi"/>
        </w:rPr>
        <w:t>Tscm</w:t>
      </w:r>
      <w:proofErr w:type="spellEnd"/>
      <w:r w:rsidR="00485414">
        <w:rPr>
          <w:rFonts w:cstheme="minorHAnsi"/>
        </w:rPr>
        <w:t xml:space="preserve"> subtype. </w:t>
      </w:r>
    </w:p>
    <w:p w14:paraId="38AA1B16" w14:textId="49351D01" w:rsidR="00485414" w:rsidRPr="00485414" w:rsidRDefault="00FC4DF4" w:rsidP="0048541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b/>
        </w:rPr>
      </w:pPr>
      <w:r w:rsidRPr="00485414">
        <w:rPr>
          <w:rFonts w:cstheme="minorHAnsi"/>
          <w:b/>
        </w:rPr>
        <w:t xml:space="preserve">No T-cell exhaustion observed: </w:t>
      </w:r>
      <w:r w:rsidR="00485414">
        <w:rPr>
          <w:rFonts w:cstheme="minorHAnsi"/>
        </w:rPr>
        <w:t>P-PSMA-101 did not exhibit effects of CAR-mediated tonic signaling, a common cause of T-cell exhaustion that</w:t>
      </w:r>
      <w:r w:rsidR="002B2B71">
        <w:rPr>
          <w:rFonts w:cstheme="minorHAnsi"/>
        </w:rPr>
        <w:t xml:space="preserve"> may</w:t>
      </w:r>
      <w:r w:rsidR="00485414">
        <w:rPr>
          <w:rFonts w:cstheme="minorHAnsi"/>
        </w:rPr>
        <w:t xml:space="preserve"> lead to poor durability. Tonic signaling </w:t>
      </w:r>
      <w:r w:rsidR="00485414">
        <w:rPr>
          <w:rFonts w:cstheme="minorHAnsi"/>
        </w:rPr>
        <w:lastRenderedPageBreak/>
        <w:t xml:space="preserve">is caused by oligomerization of unstable binding domains commonly seen with traditional </w:t>
      </w:r>
      <w:proofErr w:type="spellStart"/>
      <w:r w:rsidR="00485414">
        <w:rPr>
          <w:rFonts w:cstheme="minorHAnsi"/>
        </w:rPr>
        <w:t>s</w:t>
      </w:r>
      <w:r w:rsidR="005A65F7">
        <w:rPr>
          <w:rFonts w:cstheme="minorHAnsi"/>
        </w:rPr>
        <w:t>c</w:t>
      </w:r>
      <w:r w:rsidR="00485414">
        <w:rPr>
          <w:rFonts w:cstheme="minorHAnsi"/>
        </w:rPr>
        <w:t>Fv</w:t>
      </w:r>
      <w:proofErr w:type="spellEnd"/>
      <w:r w:rsidR="00485414">
        <w:rPr>
          <w:rFonts w:cstheme="minorHAnsi"/>
        </w:rPr>
        <w:t xml:space="preserve"> CARs. </w:t>
      </w:r>
    </w:p>
    <w:p w14:paraId="5CFDB105" w14:textId="77777777" w:rsidR="00485414" w:rsidRDefault="00485414" w:rsidP="00485414">
      <w:pPr>
        <w:spacing w:after="0" w:line="240" w:lineRule="auto"/>
        <w:rPr>
          <w:rFonts w:cstheme="minorHAnsi"/>
          <w:b/>
        </w:rPr>
      </w:pPr>
    </w:p>
    <w:p w14:paraId="57224A04" w14:textId="70CF07DA" w:rsidR="00485414" w:rsidRDefault="00485414" w:rsidP="0048541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Similar unprecedented efficacy was seen in preclinical models with </w:t>
      </w:r>
      <w:proofErr w:type="spellStart"/>
      <w:r>
        <w:rPr>
          <w:rFonts w:cstheme="minorHAnsi"/>
        </w:rPr>
        <w:t>Poseida’s</w:t>
      </w:r>
      <w:proofErr w:type="spellEnd"/>
      <w:r>
        <w:rPr>
          <w:rFonts w:cstheme="minorHAnsi"/>
        </w:rPr>
        <w:t xml:space="preserve"> lead therapeutic, P-BCMA-101, an autologous CAR-T therapy for multiple myeloma, which is also comprised of predominantly stem cell memory T cells</w:t>
      </w:r>
      <w:r w:rsidR="002B2B71">
        <w:rPr>
          <w:rFonts w:cstheme="minorHAnsi"/>
        </w:rPr>
        <w:t xml:space="preserve"> and is currently being tested in a </w:t>
      </w:r>
      <w:hyperlink r:id="rId7" w:history="1">
        <w:r w:rsidR="002B2B71" w:rsidRPr="004314B4">
          <w:rPr>
            <w:rStyle w:val="Hyperlink"/>
            <w:rFonts w:cstheme="minorHAnsi"/>
          </w:rPr>
          <w:t>Phase I clinical trial</w:t>
        </w:r>
      </w:hyperlink>
      <w:r>
        <w:rPr>
          <w:rFonts w:cstheme="minorHAnsi"/>
        </w:rPr>
        <w:t xml:space="preserve">. </w:t>
      </w:r>
    </w:p>
    <w:p w14:paraId="6B3DAD81" w14:textId="77777777" w:rsidR="0094655B" w:rsidRDefault="0094655B" w:rsidP="005522F9">
      <w:pPr>
        <w:spacing w:after="0" w:line="240" w:lineRule="auto"/>
        <w:rPr>
          <w:rFonts w:cstheme="minorHAnsi"/>
        </w:rPr>
      </w:pPr>
    </w:p>
    <w:p w14:paraId="10466D7C" w14:textId="6D704935" w:rsidR="001E7482" w:rsidRPr="001E7482" w:rsidRDefault="001E7482" w:rsidP="001E7482">
      <w:pPr>
        <w:spacing w:after="0" w:line="240" w:lineRule="auto"/>
        <w:rPr>
          <w:rFonts w:cstheme="minorHAnsi"/>
        </w:rPr>
      </w:pPr>
      <w:r w:rsidRPr="001E7482">
        <w:rPr>
          <w:rFonts w:cstheme="minorHAnsi"/>
        </w:rPr>
        <w:t xml:space="preserve">The presentation titled “PSMA-specific </w:t>
      </w:r>
      <w:proofErr w:type="spellStart"/>
      <w:r w:rsidRPr="001E7482">
        <w:rPr>
          <w:rFonts w:cstheme="minorHAnsi"/>
        </w:rPr>
        <w:t>CARTyrin</w:t>
      </w:r>
      <w:proofErr w:type="spellEnd"/>
      <w:r w:rsidRPr="001E7482">
        <w:rPr>
          <w:rFonts w:cstheme="minorHAnsi"/>
        </w:rPr>
        <w:t xml:space="preserve"> T-Stem Cell Memory Therapy Eliminates Solid Tumor in Subcutaneous Prostate Cancer Model” by </w:t>
      </w:r>
      <w:proofErr w:type="spellStart"/>
      <w:r>
        <w:rPr>
          <w:rFonts w:cstheme="minorHAnsi"/>
        </w:rPr>
        <w:t>Jenessa</w:t>
      </w:r>
      <w:proofErr w:type="spellEnd"/>
      <w:r>
        <w:rPr>
          <w:rFonts w:cstheme="minorHAnsi"/>
        </w:rPr>
        <w:t xml:space="preserve"> B. Smith</w:t>
      </w:r>
      <w:r w:rsidR="00A74F47">
        <w:rPr>
          <w:rFonts w:cstheme="minorHAnsi"/>
        </w:rPr>
        <w:t>,</w:t>
      </w:r>
      <w:r w:rsidRPr="001E7482">
        <w:rPr>
          <w:rFonts w:cstheme="minorHAnsi"/>
        </w:rPr>
        <w:t xml:space="preserve"> Ph.D., </w:t>
      </w:r>
      <w:r w:rsidR="00B15249">
        <w:rPr>
          <w:rFonts w:cstheme="minorHAnsi"/>
        </w:rPr>
        <w:t>Research S</w:t>
      </w:r>
      <w:r w:rsidR="00A74F47" w:rsidRPr="00165FC9">
        <w:rPr>
          <w:rFonts w:cstheme="minorHAnsi"/>
        </w:rPr>
        <w:t>cientist</w:t>
      </w:r>
      <w:r w:rsidR="00A74F47">
        <w:rPr>
          <w:rFonts w:cstheme="minorHAnsi"/>
        </w:rPr>
        <w:t xml:space="preserve"> </w:t>
      </w:r>
      <w:r w:rsidRPr="001E7482">
        <w:rPr>
          <w:rFonts w:cstheme="minorHAnsi"/>
        </w:rPr>
        <w:t xml:space="preserve">at </w:t>
      </w:r>
      <w:proofErr w:type="spellStart"/>
      <w:r w:rsidRPr="001E7482">
        <w:rPr>
          <w:rFonts w:cstheme="minorHAnsi"/>
        </w:rPr>
        <w:t>Poseida</w:t>
      </w:r>
      <w:proofErr w:type="spellEnd"/>
      <w:r w:rsidRPr="001E7482">
        <w:rPr>
          <w:rFonts w:cstheme="minorHAnsi"/>
        </w:rPr>
        <w:t>, t</w:t>
      </w:r>
      <w:r w:rsidR="00A74F47">
        <w:rPr>
          <w:rFonts w:cstheme="minorHAnsi"/>
        </w:rPr>
        <w:t xml:space="preserve">akes place </w:t>
      </w:r>
      <w:r w:rsidR="00A74F47" w:rsidRPr="005A65F7">
        <w:rPr>
          <w:rFonts w:cstheme="minorHAnsi"/>
        </w:rPr>
        <w:t>today</w:t>
      </w:r>
      <w:r w:rsidR="00A74F47">
        <w:rPr>
          <w:rFonts w:cstheme="minorHAnsi"/>
        </w:rPr>
        <w:t xml:space="preserve"> </w:t>
      </w:r>
      <w:r w:rsidR="00FA6FB7">
        <w:rPr>
          <w:rFonts w:cstheme="minorHAnsi"/>
        </w:rPr>
        <w:t xml:space="preserve">December 5, 2017, </w:t>
      </w:r>
      <w:r w:rsidR="00A74F47">
        <w:rPr>
          <w:rFonts w:cstheme="minorHAnsi"/>
        </w:rPr>
        <w:t>from 10:30</w:t>
      </w:r>
      <w:r w:rsidR="004314B4">
        <w:rPr>
          <w:rFonts w:cstheme="minorHAnsi"/>
        </w:rPr>
        <w:t xml:space="preserve"> a.m. </w:t>
      </w:r>
      <w:r w:rsidR="00A74F47">
        <w:rPr>
          <w:rFonts w:cstheme="minorHAnsi"/>
        </w:rPr>
        <w:t>-12:30 p</w:t>
      </w:r>
      <w:r w:rsidR="005A65F7">
        <w:rPr>
          <w:rFonts w:cstheme="minorHAnsi"/>
        </w:rPr>
        <w:t>.</w:t>
      </w:r>
      <w:r w:rsidR="00A74F47">
        <w:rPr>
          <w:rFonts w:cstheme="minorHAnsi"/>
        </w:rPr>
        <w:t>m</w:t>
      </w:r>
      <w:r w:rsidR="005A65F7">
        <w:rPr>
          <w:rFonts w:cstheme="minorHAnsi"/>
        </w:rPr>
        <w:t>.</w:t>
      </w:r>
      <w:r w:rsidR="00A74F47">
        <w:rPr>
          <w:rFonts w:cstheme="minorHAnsi"/>
        </w:rPr>
        <w:t xml:space="preserve"> ET </w:t>
      </w:r>
      <w:r w:rsidRPr="001E7482">
        <w:rPr>
          <w:rFonts w:cstheme="minorHAnsi"/>
        </w:rPr>
        <w:t>at the</w:t>
      </w:r>
      <w:r w:rsidR="00A74F47">
        <w:rPr>
          <w:rFonts w:cstheme="minorHAnsi"/>
        </w:rPr>
        <w:t xml:space="preserve"> </w:t>
      </w:r>
      <w:r w:rsidR="00A74F47">
        <w:t>American Association for Cancer Research Prostate Cancer: Advances in Basic, Translational, and Clinical Research meeting in Orlando, Florida.</w:t>
      </w:r>
    </w:p>
    <w:p w14:paraId="6808898E" w14:textId="77777777" w:rsidR="001E7482" w:rsidRDefault="001E7482" w:rsidP="005522F9">
      <w:pPr>
        <w:spacing w:after="0" w:line="240" w:lineRule="auto"/>
        <w:rPr>
          <w:rFonts w:cstheme="minorHAnsi"/>
        </w:rPr>
      </w:pPr>
    </w:p>
    <w:p w14:paraId="03191D7F" w14:textId="77777777" w:rsidR="00D41963" w:rsidRPr="00D41963" w:rsidRDefault="00D41963" w:rsidP="00D41963">
      <w:pPr>
        <w:spacing w:after="0" w:line="240" w:lineRule="auto"/>
        <w:rPr>
          <w:rFonts w:cstheme="minorHAnsi"/>
          <w:b/>
        </w:rPr>
      </w:pPr>
      <w:r w:rsidRPr="00D41963">
        <w:rPr>
          <w:rFonts w:cstheme="minorHAnsi"/>
          <w:b/>
        </w:rPr>
        <w:t>About P-PSMA-101</w:t>
      </w:r>
    </w:p>
    <w:p w14:paraId="758D4EA6" w14:textId="55A26FCB" w:rsidR="00D41963" w:rsidRPr="00D41963" w:rsidRDefault="00D41963" w:rsidP="00D41963">
      <w:pPr>
        <w:spacing w:after="0" w:line="240" w:lineRule="auto"/>
        <w:rPr>
          <w:rFonts w:cstheme="minorHAnsi"/>
        </w:rPr>
      </w:pPr>
      <w:r w:rsidRPr="00D41963">
        <w:rPr>
          <w:rFonts w:cstheme="minorHAnsi"/>
        </w:rPr>
        <w:t xml:space="preserve">P-PSMA-101 is a CAR-T immunotherapy designed to supercharge a patient’s own T cells to safely and effectively eliminate tumor cells carrying prostate-specific membrane antigen (PSMA), which is expressed on the majority of prostate cancer cells. P-PSMA-101 employs a PSMA-specific </w:t>
      </w:r>
      <w:proofErr w:type="spellStart"/>
      <w:r w:rsidRPr="00D41963">
        <w:rPr>
          <w:rFonts w:cstheme="minorHAnsi"/>
        </w:rPr>
        <w:t>Centyrin</w:t>
      </w:r>
      <w:proofErr w:type="spellEnd"/>
      <w:r w:rsidRPr="00D41963">
        <w:rPr>
          <w:rFonts w:cstheme="minorHAnsi"/>
        </w:rPr>
        <w:t>™ binding domain and is engineered using a non-viral gene delivery system called the piggyBac™ DNA Modification System, which leverages the technology’s capability to deliver 30 times more cargo than traditional virus-based CAR T-cell modification systems. P-PSMA-101 has demonstrated potent anti-tumor activity, persistent and durable response, significant T</w:t>
      </w:r>
      <w:r w:rsidR="002B2B71">
        <w:rPr>
          <w:rFonts w:cstheme="minorHAnsi"/>
        </w:rPr>
        <w:t xml:space="preserve"> </w:t>
      </w:r>
      <w:r w:rsidR="004314B4">
        <w:rPr>
          <w:rFonts w:cstheme="minorHAnsi"/>
        </w:rPr>
        <w:t>stem</w:t>
      </w:r>
      <w:r w:rsidR="004314B4" w:rsidRPr="00D41963">
        <w:rPr>
          <w:rFonts w:cstheme="minorHAnsi"/>
        </w:rPr>
        <w:t xml:space="preserve"> cell</w:t>
      </w:r>
      <w:r w:rsidRPr="00D41963">
        <w:rPr>
          <w:rFonts w:cstheme="minorHAnsi"/>
        </w:rPr>
        <w:t xml:space="preserve"> memory, a high concentration of P-PSMA-101 modified T-cells and no T-cell exhaustion. A unique feature of P-PSMA-101 and other </w:t>
      </w:r>
      <w:proofErr w:type="spellStart"/>
      <w:r w:rsidRPr="00D41963">
        <w:rPr>
          <w:rFonts w:cstheme="minorHAnsi"/>
        </w:rPr>
        <w:t>Poseida</w:t>
      </w:r>
      <w:proofErr w:type="spellEnd"/>
      <w:r w:rsidRPr="00D41963">
        <w:rPr>
          <w:rFonts w:cstheme="minorHAnsi"/>
        </w:rPr>
        <w:t xml:space="preserve"> CAR-T products is their exceptionally high percentage of stem cell memory T cells, which has been shown in preclinical studies to lead to unprecedented durability of response without re-administration of treatment.</w:t>
      </w:r>
    </w:p>
    <w:p w14:paraId="2DB9EB24" w14:textId="77777777" w:rsidR="00D41963" w:rsidRPr="005522F9" w:rsidRDefault="00D41963" w:rsidP="005522F9">
      <w:pPr>
        <w:spacing w:after="0" w:line="240" w:lineRule="auto"/>
        <w:rPr>
          <w:rFonts w:cstheme="minorHAnsi"/>
        </w:rPr>
      </w:pPr>
    </w:p>
    <w:p w14:paraId="38361B56" w14:textId="77777777" w:rsidR="000B4DF8" w:rsidRPr="000B4DF8" w:rsidRDefault="000B4DF8" w:rsidP="00E52D90">
      <w:pPr>
        <w:spacing w:after="0" w:line="240" w:lineRule="auto"/>
        <w:rPr>
          <w:b/>
        </w:rPr>
      </w:pPr>
      <w:r w:rsidRPr="000B4DF8">
        <w:rPr>
          <w:b/>
        </w:rPr>
        <w:t xml:space="preserve">About </w:t>
      </w:r>
      <w:proofErr w:type="spellStart"/>
      <w:r w:rsidRPr="000B4DF8">
        <w:rPr>
          <w:b/>
        </w:rPr>
        <w:t>Poseida</w:t>
      </w:r>
      <w:proofErr w:type="spellEnd"/>
      <w:r w:rsidRPr="000B4DF8">
        <w:rPr>
          <w:b/>
        </w:rPr>
        <w:t xml:space="preserve"> Therapeutics Inc. </w:t>
      </w:r>
    </w:p>
    <w:p w14:paraId="7D0A6882" w14:textId="4571E284" w:rsidR="00CD4B13" w:rsidRPr="000B4DF8" w:rsidRDefault="00D41963" w:rsidP="00D41963">
      <w:pPr>
        <w:spacing w:after="0" w:line="240" w:lineRule="auto"/>
      </w:pPr>
      <w:proofErr w:type="spellStart"/>
      <w:r>
        <w:t>Poseida</w:t>
      </w:r>
      <w:proofErr w:type="spellEnd"/>
      <w:r>
        <w:t xml:space="preserve"> Therapeutics is translating best-in-class gene engineering technologies into lifesaving cell therapies. The company is developing CAR T-cell immunotherapies for multiple myeloma, prostate and other cancer types, as well as gene therapies for orphan diseases. </w:t>
      </w:r>
      <w:proofErr w:type="spellStart"/>
      <w:r>
        <w:t>Poseida</w:t>
      </w:r>
      <w:proofErr w:type="spellEnd"/>
      <w:r>
        <w:t xml:space="preserve"> has assembled a suite of industry-leading gene engineering technologies, including the piggyBac™ DNA Modification System, XTN™ TALEN and </w:t>
      </w:r>
      <w:proofErr w:type="spellStart"/>
      <w:r>
        <w:t>NextGEN</w:t>
      </w:r>
      <w:proofErr w:type="spellEnd"/>
      <w:r>
        <w:t>™ CRISPR site-specific nucleases, and Footprint-Free™ Gene Editing (FFGE).  For more information, visit www.poseida.com.</w:t>
      </w:r>
    </w:p>
    <w:p w14:paraId="1358344C" w14:textId="77777777" w:rsidR="001637C6" w:rsidRPr="000B4DF8" w:rsidRDefault="001637C6" w:rsidP="00E52D90">
      <w:pPr>
        <w:spacing w:after="0" w:line="240" w:lineRule="auto"/>
      </w:pPr>
    </w:p>
    <w:p w14:paraId="39DAFED5" w14:textId="77777777" w:rsidR="000B4DF8" w:rsidRPr="00534174" w:rsidRDefault="000B4DF8" w:rsidP="00E52D90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</w:rPr>
      </w:pPr>
      <w:r w:rsidRPr="00534174">
        <w:rPr>
          <w:rFonts w:asciiTheme="minorHAnsi" w:eastAsiaTheme="minorHAnsi" w:hAnsiTheme="minorHAnsi" w:cstheme="minorBidi"/>
          <w:b/>
          <w:sz w:val="22"/>
          <w:szCs w:val="22"/>
        </w:rPr>
        <w:t>Corporate Communications Contact:</w:t>
      </w:r>
    </w:p>
    <w:p w14:paraId="216F0633" w14:textId="77777777" w:rsidR="000B4DF8" w:rsidRDefault="000B4DF8" w:rsidP="00E52D90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eastAsiaTheme="minorHAnsi" w:hAnsiTheme="minorHAnsi" w:cstheme="minorBidi"/>
          <w:sz w:val="22"/>
          <w:szCs w:val="22"/>
        </w:rPr>
      </w:pPr>
      <w:r w:rsidRPr="000B4DF8">
        <w:rPr>
          <w:rFonts w:asciiTheme="minorHAnsi" w:eastAsiaTheme="minorHAnsi" w:hAnsiTheme="minorHAnsi" w:cstheme="minorBidi"/>
          <w:sz w:val="22"/>
          <w:szCs w:val="22"/>
        </w:rPr>
        <w:t>Jason Spark</w:t>
      </w:r>
      <w:r w:rsidRPr="000B4DF8">
        <w:rPr>
          <w:rFonts w:asciiTheme="minorHAnsi" w:eastAsiaTheme="minorHAnsi" w:hAnsiTheme="minorHAnsi" w:cstheme="minorBidi"/>
          <w:sz w:val="22"/>
          <w:szCs w:val="22"/>
        </w:rPr>
        <w:br/>
      </w:r>
      <w:proofErr w:type="spellStart"/>
      <w:r w:rsidRPr="000B4DF8">
        <w:rPr>
          <w:rFonts w:asciiTheme="minorHAnsi" w:eastAsiaTheme="minorHAnsi" w:hAnsiTheme="minorHAnsi" w:cstheme="minorBidi"/>
          <w:sz w:val="22"/>
          <w:szCs w:val="22"/>
        </w:rPr>
        <w:t>Canale</w:t>
      </w:r>
      <w:proofErr w:type="spellEnd"/>
      <w:r w:rsidRPr="000B4DF8">
        <w:rPr>
          <w:rFonts w:asciiTheme="minorHAnsi" w:eastAsiaTheme="minorHAnsi" w:hAnsiTheme="minorHAnsi" w:cstheme="minorBidi"/>
          <w:sz w:val="22"/>
          <w:szCs w:val="22"/>
        </w:rPr>
        <w:t xml:space="preserve"> Communications</w:t>
      </w:r>
      <w:r w:rsidRPr="000B4DF8">
        <w:rPr>
          <w:rFonts w:asciiTheme="minorHAnsi" w:eastAsiaTheme="minorHAnsi" w:hAnsiTheme="minorHAnsi" w:cstheme="minorBidi"/>
          <w:sz w:val="22"/>
          <w:szCs w:val="22"/>
        </w:rPr>
        <w:br/>
        <w:t>619-849-6005</w:t>
      </w:r>
      <w:r w:rsidRPr="000B4DF8">
        <w:rPr>
          <w:rFonts w:asciiTheme="minorHAnsi" w:eastAsiaTheme="minorHAnsi" w:hAnsiTheme="minorHAnsi" w:cstheme="minorBidi"/>
          <w:sz w:val="22"/>
          <w:szCs w:val="22"/>
        </w:rPr>
        <w:br/>
      </w:r>
      <w:hyperlink r:id="rId8" w:history="1">
        <w:r w:rsidRPr="000B4DF8">
          <w:rPr>
            <w:rFonts w:asciiTheme="minorHAnsi" w:eastAsiaTheme="minorHAnsi" w:hAnsiTheme="minorHAnsi" w:cstheme="minorBidi"/>
            <w:sz w:val="22"/>
            <w:szCs w:val="22"/>
          </w:rPr>
          <w:t>Jason@canalecomm.com</w:t>
        </w:r>
      </w:hyperlink>
    </w:p>
    <w:p w14:paraId="26588E02" w14:textId="77777777" w:rsidR="00D41963" w:rsidRDefault="00D41963" w:rsidP="00E52D90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eastAsiaTheme="minorHAnsi" w:hAnsiTheme="minorHAnsi" w:cstheme="minorBidi"/>
          <w:sz w:val="22"/>
          <w:szCs w:val="22"/>
        </w:rPr>
      </w:pPr>
    </w:p>
    <w:p w14:paraId="3B4D9DAE" w14:textId="77777777" w:rsidR="00D24438" w:rsidRPr="000B4DF8" w:rsidRDefault="00D24438" w:rsidP="001F0ECB">
      <w:pPr>
        <w:pStyle w:val="NormalWeb"/>
        <w:shd w:val="clear" w:color="auto" w:fill="FFFFFF"/>
        <w:spacing w:before="0" w:beforeAutospacing="0" w:after="300" w:afterAutospacing="0" w:line="300" w:lineRule="atLeast"/>
      </w:pPr>
    </w:p>
    <w:sectPr w:rsidR="00D24438" w:rsidRPr="000B4D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EDBCC" w14:textId="77777777" w:rsidR="006A5A9E" w:rsidRDefault="006A5A9E" w:rsidP="00E52D90">
      <w:pPr>
        <w:spacing w:after="0" w:line="240" w:lineRule="auto"/>
      </w:pPr>
      <w:r>
        <w:separator/>
      </w:r>
    </w:p>
  </w:endnote>
  <w:endnote w:type="continuationSeparator" w:id="0">
    <w:p w14:paraId="0A625A92" w14:textId="77777777" w:rsidR="006A5A9E" w:rsidRDefault="006A5A9E" w:rsidP="00E5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46B7A" w14:textId="77777777" w:rsidR="00EC0943" w:rsidRDefault="00EC0943">
    <w:pPr>
      <w:pStyle w:val="Footer"/>
    </w:pPr>
  </w:p>
  <w:p w14:paraId="407C1B4F" w14:textId="77777777" w:rsidR="00EC0943" w:rsidRDefault="00EC0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643B" w14:textId="77777777" w:rsidR="006A5A9E" w:rsidRDefault="006A5A9E" w:rsidP="00E52D90">
      <w:pPr>
        <w:spacing w:after="0" w:line="240" w:lineRule="auto"/>
      </w:pPr>
      <w:r>
        <w:separator/>
      </w:r>
    </w:p>
  </w:footnote>
  <w:footnote w:type="continuationSeparator" w:id="0">
    <w:p w14:paraId="02133B01" w14:textId="77777777" w:rsidR="006A5A9E" w:rsidRDefault="006A5A9E" w:rsidP="00E52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AF92" w14:textId="77777777" w:rsidR="00E52D90" w:rsidRDefault="00E52D9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55A051" wp14:editId="44F41BB1">
          <wp:simplePos x="0" y="0"/>
          <wp:positionH relativeFrom="margin">
            <wp:posOffset>-99060</wp:posOffset>
          </wp:positionH>
          <wp:positionV relativeFrom="paragraph">
            <wp:posOffset>-309880</wp:posOffset>
          </wp:positionV>
          <wp:extent cx="2186940" cy="551180"/>
          <wp:effectExtent l="0" t="0" r="381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seida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94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0055"/>
    <w:multiLevelType w:val="hybridMultilevel"/>
    <w:tmpl w:val="FC4691F4"/>
    <w:lvl w:ilvl="0" w:tplc="D75A3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80E4C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23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AA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E9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4C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D89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21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CD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9F5FDE"/>
    <w:multiLevelType w:val="hybridMultilevel"/>
    <w:tmpl w:val="3606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E6F6F"/>
    <w:multiLevelType w:val="multilevel"/>
    <w:tmpl w:val="81E6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7222D1"/>
    <w:multiLevelType w:val="hybridMultilevel"/>
    <w:tmpl w:val="B640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C0786"/>
    <w:multiLevelType w:val="hybridMultilevel"/>
    <w:tmpl w:val="A68CB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3BC2"/>
    <w:multiLevelType w:val="hybridMultilevel"/>
    <w:tmpl w:val="A2D41812"/>
    <w:lvl w:ilvl="0" w:tplc="C58AF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080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0E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0F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8B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C0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A9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29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06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9B7005"/>
    <w:multiLevelType w:val="hybridMultilevel"/>
    <w:tmpl w:val="41B04E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91B4B"/>
    <w:multiLevelType w:val="hybridMultilevel"/>
    <w:tmpl w:val="C7E65186"/>
    <w:lvl w:ilvl="0" w:tplc="0076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D62A8"/>
    <w:multiLevelType w:val="hybridMultilevel"/>
    <w:tmpl w:val="8D14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123C6"/>
    <w:multiLevelType w:val="hybridMultilevel"/>
    <w:tmpl w:val="51B0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F8"/>
    <w:rsid w:val="000023E6"/>
    <w:rsid w:val="00015C54"/>
    <w:rsid w:val="000235B6"/>
    <w:rsid w:val="00024580"/>
    <w:rsid w:val="00033106"/>
    <w:rsid w:val="000451C7"/>
    <w:rsid w:val="000521DD"/>
    <w:rsid w:val="00056215"/>
    <w:rsid w:val="0005634A"/>
    <w:rsid w:val="00063402"/>
    <w:rsid w:val="000645ED"/>
    <w:rsid w:val="00064DB0"/>
    <w:rsid w:val="00067A34"/>
    <w:rsid w:val="000762BF"/>
    <w:rsid w:val="0008639B"/>
    <w:rsid w:val="00087854"/>
    <w:rsid w:val="00091378"/>
    <w:rsid w:val="000B32BE"/>
    <w:rsid w:val="000B403E"/>
    <w:rsid w:val="000B4DF8"/>
    <w:rsid w:val="000C10BB"/>
    <w:rsid w:val="000C4E48"/>
    <w:rsid w:val="000E0305"/>
    <w:rsid w:val="000E0372"/>
    <w:rsid w:val="000F4A26"/>
    <w:rsid w:val="000F62B2"/>
    <w:rsid w:val="000F782F"/>
    <w:rsid w:val="00102856"/>
    <w:rsid w:val="00105E4A"/>
    <w:rsid w:val="00117CB6"/>
    <w:rsid w:val="00134355"/>
    <w:rsid w:val="00146894"/>
    <w:rsid w:val="00157F81"/>
    <w:rsid w:val="001637C6"/>
    <w:rsid w:val="00165FC9"/>
    <w:rsid w:val="00170FBD"/>
    <w:rsid w:val="00175677"/>
    <w:rsid w:val="00177752"/>
    <w:rsid w:val="001927CD"/>
    <w:rsid w:val="0019749D"/>
    <w:rsid w:val="001A1118"/>
    <w:rsid w:val="001A3496"/>
    <w:rsid w:val="001A7056"/>
    <w:rsid w:val="001B397A"/>
    <w:rsid w:val="001B69D0"/>
    <w:rsid w:val="001D0783"/>
    <w:rsid w:val="001E19E0"/>
    <w:rsid w:val="001E1E18"/>
    <w:rsid w:val="001E7482"/>
    <w:rsid w:val="001F0ECB"/>
    <w:rsid w:val="001F2825"/>
    <w:rsid w:val="001F7449"/>
    <w:rsid w:val="002005A9"/>
    <w:rsid w:val="00211AAC"/>
    <w:rsid w:val="00217CC7"/>
    <w:rsid w:val="00222FDB"/>
    <w:rsid w:val="002321C4"/>
    <w:rsid w:val="00232E5E"/>
    <w:rsid w:val="002424FB"/>
    <w:rsid w:val="00297BB6"/>
    <w:rsid w:val="002A1B2E"/>
    <w:rsid w:val="002A544F"/>
    <w:rsid w:val="002B2B71"/>
    <w:rsid w:val="002B3272"/>
    <w:rsid w:val="002C2AF0"/>
    <w:rsid w:val="002C3E8E"/>
    <w:rsid w:val="002C79D9"/>
    <w:rsid w:val="002C7E72"/>
    <w:rsid w:val="002D1911"/>
    <w:rsid w:val="002D1B76"/>
    <w:rsid w:val="002D2B0A"/>
    <w:rsid w:val="002D7F57"/>
    <w:rsid w:val="002E4386"/>
    <w:rsid w:val="0031100A"/>
    <w:rsid w:val="00316ED7"/>
    <w:rsid w:val="003444A7"/>
    <w:rsid w:val="00345D9D"/>
    <w:rsid w:val="00355CEB"/>
    <w:rsid w:val="003649FA"/>
    <w:rsid w:val="00392EF3"/>
    <w:rsid w:val="003A002B"/>
    <w:rsid w:val="003A25A0"/>
    <w:rsid w:val="003A752C"/>
    <w:rsid w:val="003C19A9"/>
    <w:rsid w:val="003C1F25"/>
    <w:rsid w:val="003D4198"/>
    <w:rsid w:val="003D6160"/>
    <w:rsid w:val="003E0036"/>
    <w:rsid w:val="003E4A25"/>
    <w:rsid w:val="003E7414"/>
    <w:rsid w:val="00401F0D"/>
    <w:rsid w:val="0040534F"/>
    <w:rsid w:val="004204BF"/>
    <w:rsid w:val="004233DF"/>
    <w:rsid w:val="004314B4"/>
    <w:rsid w:val="0043157A"/>
    <w:rsid w:val="00441DA7"/>
    <w:rsid w:val="00447896"/>
    <w:rsid w:val="00456125"/>
    <w:rsid w:val="004606C0"/>
    <w:rsid w:val="00483684"/>
    <w:rsid w:val="0048392A"/>
    <w:rsid w:val="00485414"/>
    <w:rsid w:val="00491D34"/>
    <w:rsid w:val="00495240"/>
    <w:rsid w:val="004A0603"/>
    <w:rsid w:val="004B305F"/>
    <w:rsid w:val="004C4375"/>
    <w:rsid w:val="004C7AFC"/>
    <w:rsid w:val="004D02CA"/>
    <w:rsid w:val="004D7370"/>
    <w:rsid w:val="005035D4"/>
    <w:rsid w:val="005123C7"/>
    <w:rsid w:val="005229C4"/>
    <w:rsid w:val="00523F57"/>
    <w:rsid w:val="0052414C"/>
    <w:rsid w:val="00526BC7"/>
    <w:rsid w:val="00533723"/>
    <w:rsid w:val="00534174"/>
    <w:rsid w:val="00535D9F"/>
    <w:rsid w:val="00537161"/>
    <w:rsid w:val="00547920"/>
    <w:rsid w:val="005522F9"/>
    <w:rsid w:val="0057461A"/>
    <w:rsid w:val="00582709"/>
    <w:rsid w:val="00582B2D"/>
    <w:rsid w:val="005854D8"/>
    <w:rsid w:val="00591A7D"/>
    <w:rsid w:val="005A194E"/>
    <w:rsid w:val="005A65F7"/>
    <w:rsid w:val="005A7E45"/>
    <w:rsid w:val="005D05C0"/>
    <w:rsid w:val="005E19E8"/>
    <w:rsid w:val="005F3542"/>
    <w:rsid w:val="00600F54"/>
    <w:rsid w:val="00603EA3"/>
    <w:rsid w:val="006049F8"/>
    <w:rsid w:val="00605ABE"/>
    <w:rsid w:val="00620333"/>
    <w:rsid w:val="00625F87"/>
    <w:rsid w:val="006329FF"/>
    <w:rsid w:val="00636154"/>
    <w:rsid w:val="00636FF3"/>
    <w:rsid w:val="00640027"/>
    <w:rsid w:val="00642A28"/>
    <w:rsid w:val="00643981"/>
    <w:rsid w:val="00645C15"/>
    <w:rsid w:val="00646567"/>
    <w:rsid w:val="00673855"/>
    <w:rsid w:val="00673ADC"/>
    <w:rsid w:val="00674A18"/>
    <w:rsid w:val="00684E1F"/>
    <w:rsid w:val="00690B46"/>
    <w:rsid w:val="00692A7F"/>
    <w:rsid w:val="006A2A7D"/>
    <w:rsid w:val="006A5A9E"/>
    <w:rsid w:val="006C2428"/>
    <w:rsid w:val="006E188B"/>
    <w:rsid w:val="006E5D5D"/>
    <w:rsid w:val="006F0F6B"/>
    <w:rsid w:val="0071693E"/>
    <w:rsid w:val="00720F0F"/>
    <w:rsid w:val="00730BC0"/>
    <w:rsid w:val="0074316B"/>
    <w:rsid w:val="007446E1"/>
    <w:rsid w:val="0075332E"/>
    <w:rsid w:val="00763BF0"/>
    <w:rsid w:val="00763D05"/>
    <w:rsid w:val="00777414"/>
    <w:rsid w:val="007933CC"/>
    <w:rsid w:val="00793D3B"/>
    <w:rsid w:val="007B35F4"/>
    <w:rsid w:val="007C6298"/>
    <w:rsid w:val="007C7038"/>
    <w:rsid w:val="007D5C92"/>
    <w:rsid w:val="007E7A37"/>
    <w:rsid w:val="008011D7"/>
    <w:rsid w:val="0081402B"/>
    <w:rsid w:val="00830B6A"/>
    <w:rsid w:val="00832105"/>
    <w:rsid w:val="00834C9B"/>
    <w:rsid w:val="0084064F"/>
    <w:rsid w:val="00850513"/>
    <w:rsid w:val="008544D2"/>
    <w:rsid w:val="00857C06"/>
    <w:rsid w:val="00872538"/>
    <w:rsid w:val="00873ACA"/>
    <w:rsid w:val="008770B3"/>
    <w:rsid w:val="0089508B"/>
    <w:rsid w:val="008A441D"/>
    <w:rsid w:val="008B10D3"/>
    <w:rsid w:val="008B26B2"/>
    <w:rsid w:val="008B29B0"/>
    <w:rsid w:val="008C12F8"/>
    <w:rsid w:val="008D2024"/>
    <w:rsid w:val="008D6C61"/>
    <w:rsid w:val="008E188A"/>
    <w:rsid w:val="00904522"/>
    <w:rsid w:val="009050D3"/>
    <w:rsid w:val="00915C77"/>
    <w:rsid w:val="00926897"/>
    <w:rsid w:val="00930F8C"/>
    <w:rsid w:val="00932207"/>
    <w:rsid w:val="00932BC5"/>
    <w:rsid w:val="009422A8"/>
    <w:rsid w:val="00942F68"/>
    <w:rsid w:val="0094655B"/>
    <w:rsid w:val="00956B31"/>
    <w:rsid w:val="00960ECB"/>
    <w:rsid w:val="00987968"/>
    <w:rsid w:val="009D1A88"/>
    <w:rsid w:val="009D1BC5"/>
    <w:rsid w:val="009E0651"/>
    <w:rsid w:val="009E3544"/>
    <w:rsid w:val="009E49C9"/>
    <w:rsid w:val="009E71A8"/>
    <w:rsid w:val="009F05D5"/>
    <w:rsid w:val="00A117D9"/>
    <w:rsid w:val="00A27E9B"/>
    <w:rsid w:val="00A667B0"/>
    <w:rsid w:val="00A66D30"/>
    <w:rsid w:val="00A74F47"/>
    <w:rsid w:val="00A87761"/>
    <w:rsid w:val="00A93B78"/>
    <w:rsid w:val="00AA2E82"/>
    <w:rsid w:val="00AB30F4"/>
    <w:rsid w:val="00AB401E"/>
    <w:rsid w:val="00AC1140"/>
    <w:rsid w:val="00AC4D1C"/>
    <w:rsid w:val="00AC612E"/>
    <w:rsid w:val="00AC6E7A"/>
    <w:rsid w:val="00AE69D5"/>
    <w:rsid w:val="00B10839"/>
    <w:rsid w:val="00B15249"/>
    <w:rsid w:val="00B40BEC"/>
    <w:rsid w:val="00B4707A"/>
    <w:rsid w:val="00B519AA"/>
    <w:rsid w:val="00B53E9D"/>
    <w:rsid w:val="00B609F6"/>
    <w:rsid w:val="00B6262A"/>
    <w:rsid w:val="00B76ADE"/>
    <w:rsid w:val="00B7739B"/>
    <w:rsid w:val="00B87317"/>
    <w:rsid w:val="00B96761"/>
    <w:rsid w:val="00BA4FF7"/>
    <w:rsid w:val="00BA7180"/>
    <w:rsid w:val="00BB1834"/>
    <w:rsid w:val="00BB27A9"/>
    <w:rsid w:val="00BD236D"/>
    <w:rsid w:val="00BE7FE0"/>
    <w:rsid w:val="00BF18F5"/>
    <w:rsid w:val="00BF1CB5"/>
    <w:rsid w:val="00C02D38"/>
    <w:rsid w:val="00C0561B"/>
    <w:rsid w:val="00C10E96"/>
    <w:rsid w:val="00C14E1C"/>
    <w:rsid w:val="00C15828"/>
    <w:rsid w:val="00C17ADF"/>
    <w:rsid w:val="00C27B52"/>
    <w:rsid w:val="00C3760A"/>
    <w:rsid w:val="00C405AB"/>
    <w:rsid w:val="00C4481D"/>
    <w:rsid w:val="00C44EC5"/>
    <w:rsid w:val="00C46EE9"/>
    <w:rsid w:val="00C6649F"/>
    <w:rsid w:val="00C664C1"/>
    <w:rsid w:val="00C6654F"/>
    <w:rsid w:val="00C71DC1"/>
    <w:rsid w:val="00C81EDC"/>
    <w:rsid w:val="00C904DA"/>
    <w:rsid w:val="00C9736D"/>
    <w:rsid w:val="00CA039C"/>
    <w:rsid w:val="00CA5662"/>
    <w:rsid w:val="00CA702A"/>
    <w:rsid w:val="00CB2870"/>
    <w:rsid w:val="00CB4955"/>
    <w:rsid w:val="00CB5466"/>
    <w:rsid w:val="00CB7748"/>
    <w:rsid w:val="00CC3E70"/>
    <w:rsid w:val="00CC7A36"/>
    <w:rsid w:val="00CD4B13"/>
    <w:rsid w:val="00CF238F"/>
    <w:rsid w:val="00D00365"/>
    <w:rsid w:val="00D03A5F"/>
    <w:rsid w:val="00D156E1"/>
    <w:rsid w:val="00D15DF5"/>
    <w:rsid w:val="00D17DB8"/>
    <w:rsid w:val="00D21427"/>
    <w:rsid w:val="00D24438"/>
    <w:rsid w:val="00D33149"/>
    <w:rsid w:val="00D41963"/>
    <w:rsid w:val="00D54F6E"/>
    <w:rsid w:val="00D55919"/>
    <w:rsid w:val="00D66AD2"/>
    <w:rsid w:val="00DA2CEE"/>
    <w:rsid w:val="00DB2CA3"/>
    <w:rsid w:val="00DB52A3"/>
    <w:rsid w:val="00DB7A6D"/>
    <w:rsid w:val="00DC5EB8"/>
    <w:rsid w:val="00DD56B0"/>
    <w:rsid w:val="00DE3C2E"/>
    <w:rsid w:val="00E00F9E"/>
    <w:rsid w:val="00E0374A"/>
    <w:rsid w:val="00E109CD"/>
    <w:rsid w:val="00E10B0C"/>
    <w:rsid w:val="00E17AB3"/>
    <w:rsid w:val="00E23353"/>
    <w:rsid w:val="00E46CCF"/>
    <w:rsid w:val="00E52D90"/>
    <w:rsid w:val="00E64A9A"/>
    <w:rsid w:val="00E65E54"/>
    <w:rsid w:val="00E745BC"/>
    <w:rsid w:val="00E90D52"/>
    <w:rsid w:val="00E912E1"/>
    <w:rsid w:val="00E92B0F"/>
    <w:rsid w:val="00E93450"/>
    <w:rsid w:val="00EA668D"/>
    <w:rsid w:val="00EA7939"/>
    <w:rsid w:val="00EB741D"/>
    <w:rsid w:val="00EC0528"/>
    <w:rsid w:val="00EC0943"/>
    <w:rsid w:val="00EC1BE1"/>
    <w:rsid w:val="00EE2A6C"/>
    <w:rsid w:val="00F25BEE"/>
    <w:rsid w:val="00F3755A"/>
    <w:rsid w:val="00F50F12"/>
    <w:rsid w:val="00F64263"/>
    <w:rsid w:val="00F64598"/>
    <w:rsid w:val="00F672B8"/>
    <w:rsid w:val="00F703EF"/>
    <w:rsid w:val="00F732C7"/>
    <w:rsid w:val="00F746D2"/>
    <w:rsid w:val="00F95769"/>
    <w:rsid w:val="00FA6177"/>
    <w:rsid w:val="00FA6589"/>
    <w:rsid w:val="00FA6FB7"/>
    <w:rsid w:val="00FB68A5"/>
    <w:rsid w:val="00FB754A"/>
    <w:rsid w:val="00FC4DF4"/>
    <w:rsid w:val="00FD6F1F"/>
    <w:rsid w:val="00FF210B"/>
    <w:rsid w:val="00FF4791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0B8F"/>
  <w15:docId w15:val="{055EA25A-A852-40ED-9A03-B00203C1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D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79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52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D90"/>
  </w:style>
  <w:style w:type="paragraph" w:styleId="Footer">
    <w:name w:val="footer"/>
    <w:basedOn w:val="Normal"/>
    <w:link w:val="FooterChar"/>
    <w:uiPriority w:val="99"/>
    <w:unhideWhenUsed/>
    <w:rsid w:val="00E52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D90"/>
  </w:style>
  <w:style w:type="paragraph" w:styleId="ListParagraph">
    <w:name w:val="List Paragraph"/>
    <w:basedOn w:val="Normal"/>
    <w:uiPriority w:val="34"/>
    <w:qFormat/>
    <w:rsid w:val="006E18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1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3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49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419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5035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5035D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0ECB"/>
    <w:rPr>
      <w:color w:val="808080"/>
      <w:shd w:val="clear" w:color="auto" w:fill="E6E6E6"/>
    </w:rPr>
  </w:style>
  <w:style w:type="character" w:customStyle="1" w:styleId="second-string">
    <w:name w:val="second-string"/>
    <w:basedOn w:val="DefaultParagraphFont"/>
    <w:rsid w:val="002B3272"/>
  </w:style>
  <w:style w:type="character" w:styleId="Emphasis">
    <w:name w:val="Emphasis"/>
    <w:basedOn w:val="DefaultParagraphFont"/>
    <w:uiPriority w:val="20"/>
    <w:qFormat/>
    <w:rsid w:val="00930F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61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1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1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27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37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755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0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1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@canalecom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nicaltrials.gov/ct2/show/NCT032884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Fish</dc:creator>
  <cp:lastModifiedBy>Sumitra Gupta</cp:lastModifiedBy>
  <cp:revision>2</cp:revision>
  <dcterms:created xsi:type="dcterms:W3CDTF">2017-11-29T18:45:00Z</dcterms:created>
  <dcterms:modified xsi:type="dcterms:W3CDTF">2017-11-29T18:45:00Z</dcterms:modified>
</cp:coreProperties>
</file>