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16B3C">
      <w:pPr>
        <w:jc w:val="right"/>
      </w:pPr>
      <w:bookmarkStart w:id="0" w:name="Section1"/>
      <w:bookmarkEnd w:id="0"/>
      <w:r>
        <w:rPr>
          <w:b/>
          <w:color w:val="000000"/>
          <w:sz w:val="20"/>
          <w:shd w:val="clear" w:color="auto" w:fill="FFFFFF"/>
        </w:rPr>
        <w:t>Exhibit 99.1</w:t>
      </w:r>
    </w:p>
    <w:p w:rsidR="00A77B3E" w:rsidRDefault="00A77B3E">
      <w:pPr>
        <w:jc w:val="right"/>
      </w:pPr>
    </w:p>
    <w:p w:rsidR="00A77B3E" w:rsidRDefault="00516B3C">
      <w:r>
        <w:rPr>
          <w:noProof/>
        </w:rPr>
        <w:drawing>
          <wp:inline distT="0" distB="0" distL="0" distR="0" wp14:anchorId="1FC30E35" wp14:editId="1904CBD1">
            <wp:extent cx="6743700" cy="1422537"/>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7"/>
                    <a:stretch>
                      <a:fillRect/>
                    </a:stretch>
                  </pic:blipFill>
                  <pic:spPr>
                    <a:xfrm>
                      <a:off x="0" y="0"/>
                      <a:ext cx="6743700" cy="1422537"/>
                    </a:xfrm>
                    <a:prstGeom prst="rect">
                      <a:avLst/>
                    </a:prstGeom>
                  </pic:spPr>
                </pic:pic>
              </a:graphicData>
            </a:graphic>
          </wp:inline>
        </w:drawing>
      </w: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62"/>
        <w:gridCol w:w="8778"/>
      </w:tblGrid>
      <w:tr w:rsidR="00973A84" w:rsidTr="005E3386">
        <w:trPr>
          <w:trHeight w:hRule="exact" w:val="2583"/>
        </w:trPr>
        <w:tc>
          <w:tcPr>
            <w:tcW w:w="1789" w:type="dxa"/>
            <w:tcBorders>
              <w:top w:val="nil"/>
              <w:left w:val="nil"/>
              <w:bottom w:val="nil"/>
              <w:right w:val="nil"/>
            </w:tcBorders>
            <w:shd w:val="clear" w:color="auto" w:fill="auto"/>
            <w:tcMar>
              <w:top w:w="0" w:type="dxa"/>
              <w:left w:w="53" w:type="dxa"/>
              <w:bottom w:w="0" w:type="dxa"/>
              <w:right w:w="53" w:type="dxa"/>
            </w:tcMar>
            <w:vAlign w:val="center"/>
          </w:tcPr>
          <w:p w:rsidR="00A77B3E" w:rsidRDefault="00516B3C">
            <w:pPr>
              <w:widowControl w:val="0"/>
              <w:spacing w:before="55" w:after="10"/>
            </w:pPr>
            <w:r>
              <w:rPr>
                <w:sz w:val="20"/>
              </w:rPr>
              <w:sym w:font="Times New Roman" w:char="F008"/>
            </w:r>
          </w:p>
        </w:tc>
        <w:tc>
          <w:tcPr>
            <w:tcW w:w="62" w:type="dxa"/>
            <w:tcBorders>
              <w:top w:val="nil"/>
              <w:left w:val="nil"/>
              <w:bottom w:val="nil"/>
              <w:right w:val="nil"/>
            </w:tcBorders>
            <w:shd w:val="clear" w:color="auto" w:fill="auto"/>
            <w:tcMar>
              <w:top w:w="0" w:type="dxa"/>
              <w:left w:w="0" w:type="dxa"/>
              <w:bottom w:w="0" w:type="dxa"/>
              <w:right w:w="0" w:type="dxa"/>
            </w:tcMar>
            <w:vAlign w:val="center"/>
          </w:tcPr>
          <w:p w:rsidR="00A77B3E" w:rsidRDefault="00A77B3E"/>
        </w:tc>
        <w:tc>
          <w:tcPr>
            <w:tcW w:w="8778" w:type="dxa"/>
            <w:tcBorders>
              <w:top w:val="nil"/>
              <w:left w:val="nil"/>
              <w:bottom w:val="nil"/>
              <w:right w:val="nil"/>
            </w:tcBorders>
            <w:shd w:val="clear" w:color="auto" w:fill="auto"/>
            <w:tcMar>
              <w:top w:w="0" w:type="dxa"/>
              <w:left w:w="53" w:type="dxa"/>
              <w:bottom w:w="0" w:type="dxa"/>
              <w:right w:w="53" w:type="dxa"/>
            </w:tcMar>
            <w:vAlign w:val="center"/>
          </w:tcPr>
          <w:p w:rsidR="00A77B3E" w:rsidRDefault="00516B3C">
            <w:pPr>
              <w:widowControl w:val="0"/>
              <w:spacing w:before="55"/>
            </w:pPr>
            <w:r>
              <w:rPr>
                <w:sz w:val="20"/>
              </w:rPr>
              <w:t>•  The Partnership reported $148.3 million of net income attributable to the partnership, $154.4 million of net cash provided by operating activities, $187.0 million of adjusted EBITDA attributable to the partnership, and $163.5 million of cash available for distribution.</w:t>
            </w:r>
          </w:p>
          <w:p w:rsidR="00A77B3E" w:rsidRDefault="00A77B3E">
            <w:pPr>
              <w:widowControl w:val="0"/>
            </w:pPr>
          </w:p>
          <w:p w:rsidR="00A77B3E" w:rsidRDefault="00516B3C">
            <w:pPr>
              <w:widowControl w:val="0"/>
            </w:pPr>
            <w:r>
              <w:rPr>
                <w:sz w:val="20"/>
              </w:rPr>
              <w:t>•  Third quarter distribution of $0.382 per common unit, up 4.7% from previous quarter, which supports the partnership's intent to deliver 20% annual distribution growth through 2018.</w:t>
            </w:r>
          </w:p>
          <w:p w:rsidR="00A77B3E" w:rsidRDefault="00A77B3E">
            <w:pPr>
              <w:widowControl w:val="0"/>
            </w:pPr>
          </w:p>
          <w:p w:rsidR="00A77B3E" w:rsidRDefault="00516B3C">
            <w:pPr>
              <w:widowControl w:val="0"/>
              <w:spacing w:after="10"/>
            </w:pPr>
            <w:r>
              <w:rPr>
                <w:sz w:val="20"/>
              </w:rPr>
              <w:t>•  The Partnership expects its sponsor to waive a portion of IDR's for 2019. We believe this is a strong sign of sponsor support to strengthen the Partnership's resilient framework.</w:t>
            </w:r>
          </w:p>
        </w:tc>
        <w:bookmarkStart w:id="1" w:name="_GoBack"/>
        <w:bookmarkEnd w:id="1"/>
      </w:tr>
    </w:tbl>
    <w:p w:rsidR="00A77B3E" w:rsidRDefault="00A77B3E">
      <w:pPr>
        <w:spacing w:before="120"/>
        <w:jc w:val="center"/>
      </w:pPr>
    </w:p>
    <w:p w:rsidR="00A77B3E" w:rsidRDefault="00516B3C">
      <w:pPr>
        <w:jc w:val="both"/>
      </w:pPr>
      <w:r>
        <w:rPr>
          <w:sz w:val="20"/>
        </w:rPr>
        <w:t xml:space="preserve">HOUSTON, November 1, 2018 – Shell Midstream Partners, L.P. (NYSE: SHLX), a growth-oriented midstream master limited partnership formed by Royal Dutch Shell plc (“RDS”), reported net income attributable to the partnership of $148.3 million for the third quarter of 2018, which equated to $0.50 per common limited partner unit. Shell Midstream Partners also generated adjusted earnings before interest, income taxes, depreciation and amortization attributable to the partnership of $187.0 million. </w:t>
      </w:r>
    </w:p>
    <w:p w:rsidR="00A77B3E" w:rsidRDefault="00A77B3E">
      <w:pPr>
        <w:jc w:val="both"/>
      </w:pPr>
    </w:p>
    <w:p w:rsidR="00A77B3E" w:rsidRDefault="00516B3C">
      <w:pPr>
        <w:jc w:val="both"/>
      </w:pPr>
      <w:r>
        <w:rPr>
          <w:sz w:val="20"/>
          <w:shd w:val="clear" w:color="auto" w:fill="FFFFFF"/>
        </w:rPr>
        <w:t>“I'm pleased with the operational and financial results for the quarter,</w:t>
      </w:r>
      <w:r>
        <w:rPr>
          <w:sz w:val="20"/>
        </w:rPr>
        <w:t>”</w:t>
      </w:r>
      <w:r>
        <w:rPr>
          <w:sz w:val="20"/>
          <w:shd w:val="clear" w:color="auto" w:fill="FFFFFF"/>
        </w:rPr>
        <w:t xml:space="preserve"> said Kevin Nichols, CEO Shell Midstream Partners, GP LLC. “We continue to see strong performance from our base business - strength in the onshore with high demand on the Zydeco system; and organic growth coming from key systems in our offshore portfolio. In addition, we expect our sponsor to waive distributions associated with IDR growth in 2019, of approximately $50 million, which will be available for reinvestment. This support from our sponsor would help strengthen our resilient framework, despite market volatility.</w:t>
      </w:r>
      <w:r>
        <w:rPr>
          <w:sz w:val="20"/>
        </w:rPr>
        <w:t>”</w:t>
      </w:r>
    </w:p>
    <w:p w:rsidR="00A77B3E" w:rsidRDefault="00A77B3E">
      <w:pPr>
        <w:jc w:val="both"/>
      </w:pPr>
    </w:p>
    <w:p w:rsidR="00A77B3E" w:rsidRDefault="00516B3C">
      <w:pPr>
        <w:jc w:val="both"/>
      </w:pPr>
      <w:r>
        <w:rPr>
          <w:sz w:val="20"/>
          <w:shd w:val="clear" w:color="auto" w:fill="FFFFFF"/>
        </w:rPr>
        <w:t>Total cash available for distribution was $163.5 million, approximately $27 million higher than the prior quarter. The improved financial results of the quarter were largely due to several upstream platforms returning to normal operating levels following turnarounds and unplanned maintenance. Also, organic growth on the Amberjack pipeline and new fields like Crown and Anchor drove improved performance compared to the second quarter.</w:t>
      </w:r>
    </w:p>
    <w:p w:rsidR="00A77B3E" w:rsidRDefault="00A77B3E">
      <w:pPr>
        <w:jc w:val="both"/>
      </w:pPr>
    </w:p>
    <w:p w:rsidR="00A77B3E" w:rsidRDefault="00516B3C">
      <w:pPr>
        <w:jc w:val="both"/>
      </w:pPr>
      <w:r>
        <w:rPr>
          <w:sz w:val="20"/>
        </w:rPr>
        <w:t xml:space="preserve">The Board of Directors of the general partner previously declared a cash distribution of $0.382 per limited partnership unit for the third quarter of 2018. This distribution represented an increase of 4.7% over the second quarter 2018 distribution and a 20% increase over the third quarter 2017 distribution. This represents the fifteenth consecutive quarter of distribution growth, which demonstrates the Partnership's intent to increase distributions by 20% in 2018. </w:t>
      </w:r>
    </w:p>
    <w:p w:rsidR="00A77B3E" w:rsidRDefault="00A77B3E">
      <w:pPr>
        <w:jc w:val="both"/>
      </w:pPr>
    </w:p>
    <w:p w:rsidR="00A77B3E" w:rsidRDefault="00516B3C">
      <w:pPr>
        <w:keepNext/>
        <w:pageBreakBefore/>
      </w:pPr>
      <w:r>
        <w:rPr>
          <w:b/>
          <w:sz w:val="20"/>
        </w:rPr>
        <w:lastRenderedPageBreak/>
        <w:t>FINANCIAL HIGHLIGHTS</w:t>
      </w:r>
    </w:p>
    <w:p w:rsidR="00A77B3E" w:rsidRDefault="00A77B3E">
      <w:pPr>
        <w:keepNext/>
      </w:pPr>
    </w:p>
    <w:p w:rsidR="00A77B3E" w:rsidRDefault="00516B3C" w:rsidP="005E3386">
      <w:pPr>
        <w:keepLines/>
        <w:widowControl w:val="0"/>
        <w:numPr>
          <w:ilvl w:val="0"/>
          <w:numId w:val="1"/>
        </w:numPr>
        <w:ind w:left="360"/>
        <w:jc w:val="both"/>
      </w:pPr>
      <w:r>
        <w:rPr>
          <w:sz w:val="20"/>
        </w:rPr>
        <w:t>Net income attributable to the partnership was $148.3 million, compared to $110.7 million for the prior quarter.</w:t>
      </w:r>
    </w:p>
    <w:p w:rsidR="00A77B3E" w:rsidRDefault="00516B3C" w:rsidP="005E3386">
      <w:pPr>
        <w:keepLines/>
        <w:widowControl w:val="0"/>
        <w:numPr>
          <w:ilvl w:val="0"/>
          <w:numId w:val="1"/>
        </w:numPr>
        <w:ind w:left="360"/>
        <w:jc w:val="both"/>
      </w:pPr>
      <w:r>
        <w:rPr>
          <w:sz w:val="20"/>
        </w:rPr>
        <w:t>Net cash provided by operating activities was $154.4 million, compared to $104.2 million for the prior quarter.</w:t>
      </w:r>
    </w:p>
    <w:p w:rsidR="00A77B3E" w:rsidRDefault="00516B3C" w:rsidP="005E3386">
      <w:pPr>
        <w:keepLines/>
        <w:widowControl w:val="0"/>
        <w:numPr>
          <w:ilvl w:val="0"/>
          <w:numId w:val="1"/>
        </w:numPr>
        <w:ind w:left="360"/>
        <w:jc w:val="both"/>
      </w:pPr>
      <w:r>
        <w:rPr>
          <w:sz w:val="20"/>
        </w:rPr>
        <w:t>Cash available for distribution was $163.5 million, compared to $136.6 million for the prior quarter, largely driven by organic volume growth on Amberjack and the Eastern Corridor, as well as producers coming back online following turnarounds and unplanned maintenance.</w:t>
      </w:r>
    </w:p>
    <w:p w:rsidR="00A77B3E" w:rsidRDefault="00516B3C" w:rsidP="005E3386">
      <w:pPr>
        <w:keepLines/>
        <w:widowControl w:val="0"/>
        <w:numPr>
          <w:ilvl w:val="0"/>
          <w:numId w:val="1"/>
        </w:numPr>
        <w:ind w:left="360"/>
        <w:jc w:val="both"/>
      </w:pPr>
      <w:r>
        <w:rPr>
          <w:sz w:val="20"/>
        </w:rPr>
        <w:t xml:space="preserve">Total cash distribution declared was $121.0 million resulting in a healthy coverage ratio of 1.4x. </w:t>
      </w:r>
    </w:p>
    <w:p w:rsidR="00A77B3E" w:rsidRDefault="00516B3C" w:rsidP="005E3386">
      <w:pPr>
        <w:keepLines/>
        <w:widowControl w:val="0"/>
        <w:numPr>
          <w:ilvl w:val="0"/>
          <w:numId w:val="1"/>
        </w:numPr>
        <w:ind w:left="360"/>
        <w:jc w:val="both"/>
      </w:pPr>
      <w:r>
        <w:rPr>
          <w:sz w:val="20"/>
        </w:rPr>
        <w:t xml:space="preserve">Adjusted EBITDA attributable to the partnership was $187.0 million, compared to $155.2 million for the prior quarter. </w:t>
      </w:r>
    </w:p>
    <w:p w:rsidR="00A77B3E" w:rsidRDefault="00516B3C" w:rsidP="005E3386">
      <w:pPr>
        <w:keepLines/>
        <w:widowControl w:val="0"/>
        <w:numPr>
          <w:ilvl w:val="0"/>
          <w:numId w:val="1"/>
        </w:numPr>
        <w:ind w:left="360"/>
        <w:jc w:val="both"/>
      </w:pPr>
      <w:r>
        <w:rPr>
          <w:sz w:val="20"/>
        </w:rPr>
        <w:t xml:space="preserve">As of September 30, 2018, the Partnership had $199.5 million of consolidated cash and cash equivalents on hand. </w:t>
      </w:r>
    </w:p>
    <w:p w:rsidR="00A77B3E" w:rsidRDefault="00516B3C" w:rsidP="005E3386">
      <w:pPr>
        <w:keepLines/>
        <w:widowControl w:val="0"/>
        <w:numPr>
          <w:ilvl w:val="0"/>
          <w:numId w:val="1"/>
        </w:numPr>
        <w:ind w:left="360"/>
        <w:jc w:val="both"/>
      </w:pPr>
      <w:r>
        <w:rPr>
          <w:sz w:val="20"/>
        </w:rPr>
        <w:t>As of September 30, 2018, the Partnership had total debt of $2.1 billion, equating to 2.8x Debt to annualized Q3 2018 Adjusted EBITDA. Current debt levels are well within targeted range and provide full flexibility to continue to grow in line with guidance.</w:t>
      </w:r>
    </w:p>
    <w:p w:rsidR="00A77B3E" w:rsidRDefault="00A77B3E">
      <w:pPr>
        <w:keepLines/>
        <w:widowControl w:val="0"/>
        <w:ind w:left="-360"/>
        <w:jc w:val="both"/>
      </w:pPr>
    </w:p>
    <w:p w:rsidR="00A77B3E" w:rsidRDefault="00516B3C">
      <w:pPr>
        <w:keepLines/>
        <w:widowControl w:val="0"/>
      </w:pPr>
      <w:r>
        <w:rPr>
          <w:i/>
          <w:sz w:val="20"/>
        </w:rPr>
        <w:t xml:space="preserve">Cash available for distribution and Adjusted EBITDA are non-GAAP supplemental financial measures. See reconciliation to their most comparable GAAP measures later in this press release. </w:t>
      </w:r>
    </w:p>
    <w:p w:rsidR="00A77B3E" w:rsidRDefault="00A77B3E">
      <w:pPr>
        <w:keepLines/>
        <w:widowControl w:val="0"/>
        <w:ind w:left="360"/>
      </w:pPr>
    </w:p>
    <w:p w:rsidR="00A77B3E" w:rsidRDefault="00516B3C">
      <w:pPr>
        <w:keepNext/>
      </w:pPr>
      <w:r>
        <w:rPr>
          <w:b/>
          <w:sz w:val="20"/>
        </w:rPr>
        <w:t>ASSET HIGHLIGHTS</w:t>
      </w:r>
    </w:p>
    <w:p w:rsidR="00A77B3E" w:rsidRDefault="00A77B3E">
      <w:pPr>
        <w:keepNext/>
      </w:pPr>
    </w:p>
    <w:p w:rsidR="00A77B3E" w:rsidRDefault="00516B3C">
      <w:pPr>
        <w:keepLines/>
        <w:widowControl w:val="0"/>
      </w:pPr>
      <w:r>
        <w:rPr>
          <w:sz w:val="20"/>
        </w:rPr>
        <w:t xml:space="preserve">Significant Onshore Pipeline Transportation: </w:t>
      </w:r>
    </w:p>
    <w:p w:rsidR="00A77B3E" w:rsidRDefault="00516B3C" w:rsidP="005E3386">
      <w:pPr>
        <w:keepLines/>
        <w:widowControl w:val="0"/>
        <w:numPr>
          <w:ilvl w:val="1"/>
          <w:numId w:val="2"/>
        </w:numPr>
        <w:ind w:left="1080"/>
        <w:jc w:val="both"/>
      </w:pPr>
      <w:r>
        <w:rPr>
          <w:sz w:val="20"/>
        </w:rPr>
        <w:t xml:space="preserve">Zydeco - Mainline volumes were 657 </w:t>
      </w:r>
      <w:proofErr w:type="spellStart"/>
      <w:r>
        <w:rPr>
          <w:sz w:val="20"/>
        </w:rPr>
        <w:t>kbpd</w:t>
      </w:r>
      <w:proofErr w:type="spellEnd"/>
      <w:r>
        <w:rPr>
          <w:sz w:val="20"/>
        </w:rPr>
        <w:t xml:space="preserve"> in the current quarter, compared to 661 </w:t>
      </w:r>
      <w:proofErr w:type="spellStart"/>
      <w:r>
        <w:rPr>
          <w:sz w:val="20"/>
        </w:rPr>
        <w:t>kbpd</w:t>
      </w:r>
      <w:proofErr w:type="spellEnd"/>
      <w:r>
        <w:rPr>
          <w:sz w:val="20"/>
        </w:rPr>
        <w:t xml:space="preserve"> in the prior quarter. We continue to see robust volume on the pipeline driven by shipper volume out of Texas and increased offshore demand.</w:t>
      </w:r>
    </w:p>
    <w:p w:rsidR="00A77B3E" w:rsidRDefault="00516B3C" w:rsidP="005E3386">
      <w:pPr>
        <w:keepLines/>
        <w:widowControl w:val="0"/>
        <w:numPr>
          <w:ilvl w:val="1"/>
          <w:numId w:val="3"/>
        </w:numPr>
        <w:ind w:left="1080"/>
      </w:pPr>
      <w:r>
        <w:rPr>
          <w:sz w:val="20"/>
        </w:rPr>
        <w:t xml:space="preserve">Refinery Gas Pipelines - Volumes were as expected backed by long-term transportation services agreements with minimum volume commitments.  </w:t>
      </w:r>
    </w:p>
    <w:p w:rsidR="00A77B3E" w:rsidRDefault="00A77B3E">
      <w:pPr>
        <w:keepLines/>
        <w:widowControl w:val="0"/>
      </w:pPr>
    </w:p>
    <w:p w:rsidR="00A77B3E" w:rsidRDefault="00516B3C">
      <w:pPr>
        <w:keepLines/>
        <w:widowControl w:val="0"/>
        <w:jc w:val="both"/>
      </w:pPr>
      <w:r>
        <w:rPr>
          <w:sz w:val="20"/>
        </w:rPr>
        <w:t xml:space="preserve">Significant Offshore Pipeline Transportation: </w:t>
      </w:r>
    </w:p>
    <w:p w:rsidR="00A77B3E" w:rsidRDefault="00516B3C" w:rsidP="005E3386">
      <w:pPr>
        <w:keepLines/>
        <w:widowControl w:val="0"/>
        <w:numPr>
          <w:ilvl w:val="1"/>
          <w:numId w:val="4"/>
        </w:numPr>
        <w:ind w:left="1080"/>
      </w:pPr>
      <w:r>
        <w:rPr>
          <w:sz w:val="20"/>
        </w:rPr>
        <w:t xml:space="preserve">Amberjack - Volumes were 359 </w:t>
      </w:r>
      <w:proofErr w:type="spellStart"/>
      <w:r>
        <w:rPr>
          <w:sz w:val="20"/>
        </w:rPr>
        <w:t>kbpd</w:t>
      </w:r>
      <w:proofErr w:type="spellEnd"/>
      <w:r>
        <w:rPr>
          <w:sz w:val="20"/>
        </w:rPr>
        <w:t xml:space="preserve">. Significant growth is expected on the pipeline as new production comes online. We reiterate our growth projection for the fourth quarter 2018 distribution of approximately $40 million. </w:t>
      </w:r>
    </w:p>
    <w:p w:rsidR="00A77B3E" w:rsidRDefault="00516B3C" w:rsidP="005E3386">
      <w:pPr>
        <w:keepLines/>
        <w:widowControl w:val="0"/>
        <w:numPr>
          <w:ilvl w:val="1"/>
          <w:numId w:val="4"/>
        </w:numPr>
        <w:ind w:left="1080"/>
      </w:pPr>
      <w:r>
        <w:rPr>
          <w:sz w:val="20"/>
        </w:rPr>
        <w:t xml:space="preserve">Mars - Volumes were 580 </w:t>
      </w:r>
      <w:proofErr w:type="spellStart"/>
      <w:r>
        <w:rPr>
          <w:sz w:val="20"/>
        </w:rPr>
        <w:t>kbpd</w:t>
      </w:r>
      <w:proofErr w:type="spellEnd"/>
      <w:r>
        <w:rPr>
          <w:sz w:val="20"/>
        </w:rPr>
        <w:t xml:space="preserve"> compared to 451 </w:t>
      </w:r>
      <w:proofErr w:type="spellStart"/>
      <w:r>
        <w:rPr>
          <w:sz w:val="20"/>
        </w:rPr>
        <w:t>kbpd</w:t>
      </w:r>
      <w:proofErr w:type="spellEnd"/>
      <w:r>
        <w:rPr>
          <w:sz w:val="20"/>
        </w:rPr>
        <w:t xml:space="preserve"> in the prior quarter largely driven by the Mars platform returning to normal operations following the turnaround and increased production from Olympus and </w:t>
      </w:r>
      <w:proofErr w:type="spellStart"/>
      <w:r>
        <w:rPr>
          <w:sz w:val="20"/>
        </w:rPr>
        <w:t>Ursa</w:t>
      </w:r>
      <w:proofErr w:type="spellEnd"/>
      <w:r>
        <w:rPr>
          <w:sz w:val="20"/>
        </w:rPr>
        <w:t xml:space="preserve">.  </w:t>
      </w:r>
    </w:p>
    <w:p w:rsidR="00A77B3E" w:rsidRDefault="00516B3C" w:rsidP="005E3386">
      <w:pPr>
        <w:keepLines/>
        <w:widowControl w:val="0"/>
        <w:numPr>
          <w:ilvl w:val="1"/>
          <w:numId w:val="5"/>
        </w:numPr>
        <w:ind w:left="1080"/>
        <w:jc w:val="both"/>
      </w:pPr>
      <w:r>
        <w:rPr>
          <w:sz w:val="20"/>
        </w:rPr>
        <w:t xml:space="preserve">Auger - Volumes were 81 </w:t>
      </w:r>
      <w:proofErr w:type="spellStart"/>
      <w:r>
        <w:rPr>
          <w:sz w:val="20"/>
        </w:rPr>
        <w:t>kbpd</w:t>
      </w:r>
      <w:proofErr w:type="spellEnd"/>
      <w:r>
        <w:rPr>
          <w:sz w:val="20"/>
        </w:rPr>
        <w:t xml:space="preserve">, higher than the prior quarter of 48 </w:t>
      </w:r>
      <w:proofErr w:type="spellStart"/>
      <w:r>
        <w:rPr>
          <w:sz w:val="20"/>
        </w:rPr>
        <w:t>kbpd</w:t>
      </w:r>
      <w:proofErr w:type="spellEnd"/>
      <w:r>
        <w:rPr>
          <w:sz w:val="20"/>
        </w:rPr>
        <w:t xml:space="preserve"> due to a full quarter of Enchilada platform production which returned to service in mid-July. We expect to receive </w:t>
      </w:r>
      <w:r>
        <w:rPr>
          <w:sz w:val="20"/>
          <w:shd w:val="clear" w:color="auto" w:fill="FFFFFF"/>
        </w:rPr>
        <w:t>approximately $3.0 million in the first half of 2019 for business interruption recoveries associated with outages in 2018.</w:t>
      </w:r>
    </w:p>
    <w:p w:rsidR="00A77B3E" w:rsidRDefault="00516B3C" w:rsidP="005E3386">
      <w:pPr>
        <w:keepLines/>
        <w:widowControl w:val="0"/>
        <w:numPr>
          <w:ilvl w:val="1"/>
          <w:numId w:val="5"/>
        </w:numPr>
        <w:ind w:left="1080"/>
        <w:jc w:val="both"/>
      </w:pPr>
      <w:r>
        <w:rPr>
          <w:sz w:val="20"/>
        </w:rPr>
        <w:t xml:space="preserve">Eastern Corridor - Volumes were 430 </w:t>
      </w:r>
      <w:proofErr w:type="spellStart"/>
      <w:r>
        <w:rPr>
          <w:sz w:val="20"/>
        </w:rPr>
        <w:t>kbpd</w:t>
      </w:r>
      <w:proofErr w:type="spellEnd"/>
      <w:r>
        <w:rPr>
          <w:sz w:val="20"/>
        </w:rPr>
        <w:t xml:space="preserve"> compared to 332 </w:t>
      </w:r>
      <w:proofErr w:type="spellStart"/>
      <w:r>
        <w:rPr>
          <w:sz w:val="20"/>
        </w:rPr>
        <w:t>kbpd</w:t>
      </w:r>
      <w:proofErr w:type="spellEnd"/>
      <w:r>
        <w:rPr>
          <w:sz w:val="20"/>
        </w:rPr>
        <w:t xml:space="preserve"> in the prior quarter largely due to organic growth from Crown and Anchor start up, new tiebacks to the pipelines and Delta House coming back online.</w:t>
      </w:r>
    </w:p>
    <w:p w:rsidR="00A77B3E" w:rsidRDefault="00516B3C">
      <w:pPr>
        <w:keepNext/>
        <w:spacing w:before="360"/>
      </w:pPr>
      <w:r>
        <w:rPr>
          <w:b/>
          <w:sz w:val="20"/>
        </w:rPr>
        <w:t xml:space="preserve">ABOUT SHELL MIDSTREAM PARTNERS, L.P.  </w:t>
      </w:r>
    </w:p>
    <w:p w:rsidR="00A77B3E" w:rsidRDefault="00516B3C">
      <w:r>
        <w:rPr>
          <w:color w:val="333333"/>
          <w:sz w:val="20"/>
        </w:rPr>
        <w:t xml:space="preserve">Shell Midstream Partners, L.P., headquartered in Houston, Texas, is a fee-based, growth-oriented midstream master limited partnership formed by Royal Dutch Shell plc to own, operate, develop and acquire pipelines and other midstream assets. Shell Midstream Partner, L.P.’s </w:t>
      </w:r>
      <w:r>
        <w:rPr>
          <w:sz w:val="20"/>
        </w:rPr>
        <w:t>assets include interests in entities that own crude oil and refined products pipelines and terminals that serve as key infrastructure to (i) transport onshore and offshore crude oil production to Gulf Coast and Midwest refining markets and (ii) deliver refined products from those markets to major demand centers. Our assets also include interests in entities that own natural gas and refinery gas pipelines that transport offshore natural gas to market hubs and deliver refinery gas from refineries and plants to chemical sites along the Gulf Coast.</w:t>
      </w:r>
    </w:p>
    <w:p w:rsidR="00A77B3E" w:rsidRDefault="00516B3C">
      <w:pPr>
        <w:spacing w:before="120" w:after="120"/>
      </w:pPr>
      <w:r>
        <w:rPr>
          <w:sz w:val="20"/>
        </w:rPr>
        <w:t xml:space="preserve">For more information on Shell Midstream Partners and the assets owned by the partnership, please visit www.shellmidstreampartners.com. </w:t>
      </w:r>
    </w:p>
    <w:p w:rsidR="00A77B3E" w:rsidRDefault="00516B3C">
      <w:pPr>
        <w:keepNext/>
        <w:spacing w:before="360"/>
      </w:pPr>
      <w:r>
        <w:rPr>
          <w:b/>
          <w:sz w:val="20"/>
        </w:rPr>
        <w:t>FORTHCOMING EVENTS</w:t>
      </w:r>
    </w:p>
    <w:p w:rsidR="00A77B3E" w:rsidRDefault="00516B3C">
      <w:pPr>
        <w:keepNext/>
        <w:spacing w:before="360"/>
      </w:pPr>
      <w:r>
        <w:rPr>
          <w:sz w:val="20"/>
        </w:rPr>
        <w:t xml:space="preserve">Shell Midstream Partners, L.P. will hold a webcast at 11:00am CT tomorrow to discuss the reported results and provide an update on partnership operations. Interested parties may listen to the conference call on Shell Midstream Partners, L.P.’s website at </w:t>
      </w:r>
      <w:r>
        <w:rPr>
          <w:color w:val="000000"/>
          <w:sz w:val="20"/>
          <w:u w:val="single"/>
        </w:rPr>
        <w:t>www.shellmidstreampartners.com</w:t>
      </w:r>
      <w:r>
        <w:rPr>
          <w:sz w:val="20"/>
        </w:rPr>
        <w:t xml:space="preserve"> by clicking on the “2018 Third-Quarter Financial Results Webcast” link, found under the “Events and Conferences” section.  A replay of the conference call will be available following the live webcast.</w:t>
      </w:r>
    </w:p>
    <w:p w:rsidR="00A77B3E" w:rsidRDefault="00A77B3E">
      <w:pPr>
        <w:keepNext/>
        <w:spacing w:before="360"/>
        <w:sectPr w:rsidR="00A77B3E">
          <w:headerReference w:type="default" r:id="rId8"/>
          <w:footerReference w:type="default" r:id="rId9"/>
          <w:type w:val="continuous"/>
          <w:pgSz w:w="12240" w:h="15840"/>
          <w:pgMar w:top="900" w:right="990" w:bottom="900" w:left="630" w:header="270" w:footer="270" w:gutter="0"/>
          <w:pgNumType w:start="1"/>
          <w:cols w:space="720"/>
          <w:docGrid w:linePitch="360"/>
        </w:sectPr>
      </w:pPr>
    </w:p>
    <w:p w:rsidR="00973A84" w:rsidRDefault="00516B3C">
      <w:pPr>
        <w:keepNext/>
      </w:pPr>
      <w:bookmarkStart w:id="2" w:name="Section2"/>
      <w:bookmarkEnd w:id="2"/>
      <w:r>
        <w:rPr>
          <w:b/>
          <w:sz w:val="22"/>
        </w:rPr>
        <w:lastRenderedPageBreak/>
        <w:t>Unaudited Summarized Financial Statement Information</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239"/>
        <w:gridCol w:w="100"/>
        <w:gridCol w:w="1652"/>
        <w:gridCol w:w="150"/>
        <w:gridCol w:w="100"/>
        <w:gridCol w:w="1696"/>
      </w:tblGrid>
      <w:tr w:rsidR="00973A84">
        <w:trPr>
          <w:trHeight w:hRule="exact" w:val="270"/>
        </w:trPr>
        <w:tc>
          <w:tcPr>
            <w:tcW w:w="6000" w:type="dxa"/>
            <w:tcBorders>
              <w:top w:val="nil"/>
              <w:left w:val="nil"/>
              <w:bottom w:val="nil"/>
              <w:right w:val="nil"/>
            </w:tcBorders>
            <w:shd w:val="clear" w:color="auto" w:fill="auto"/>
            <w:tcMar>
              <w:top w:w="0" w:type="dxa"/>
              <w:left w:w="0" w:type="dxa"/>
              <w:bottom w:w="0" w:type="dxa"/>
              <w:right w:w="0" w:type="dxa"/>
            </w:tcMar>
            <w:vAlign w:val="center"/>
          </w:tcPr>
          <w:p w:rsidR="00973A84" w:rsidRDefault="00973A84"/>
        </w:tc>
        <w:tc>
          <w:tcPr>
            <w:tcW w:w="240" w:type="dxa"/>
            <w:tcBorders>
              <w:top w:val="nil"/>
              <w:left w:val="nil"/>
              <w:bottom w:val="nil"/>
              <w:right w:val="nil"/>
            </w:tcBorders>
            <w:shd w:val="clear" w:color="auto" w:fill="auto"/>
            <w:tcMar>
              <w:top w:w="0" w:type="dxa"/>
              <w:left w:w="0" w:type="dxa"/>
              <w:bottom w:w="0" w:type="dxa"/>
              <w:right w:w="0" w:type="dxa"/>
            </w:tcMar>
            <w:vAlign w:val="center"/>
          </w:tcPr>
          <w:p w:rsidR="00973A84" w:rsidRDefault="00973A84"/>
        </w:tc>
        <w:tc>
          <w:tcPr>
            <w:tcW w:w="3705" w:type="dxa"/>
            <w:gridSpan w:val="5"/>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For the Three Months Ended</w:t>
            </w:r>
          </w:p>
        </w:tc>
      </w:tr>
      <w:tr w:rsidR="00973A84">
        <w:trPr>
          <w:trHeight w:hRule="exact" w:val="435"/>
        </w:trPr>
        <w:tc>
          <w:tcPr>
            <w:tcW w:w="600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b/>
                <w:sz w:val="16"/>
              </w:rPr>
              <w:t>(in millions of dollars, except per unit data)</w:t>
            </w:r>
          </w:p>
        </w:tc>
        <w:tc>
          <w:tcPr>
            <w:tcW w:w="24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September 30, 2018</w:t>
            </w:r>
          </w:p>
        </w:tc>
        <w:tc>
          <w:tcPr>
            <w:tcW w:w="15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973A84"/>
        </w:tc>
        <w:tc>
          <w:tcPr>
            <w:tcW w:w="180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June 30, 2018</w:t>
            </w:r>
          </w:p>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widowControl w:val="0"/>
              <w:spacing w:before="55" w:after="10"/>
            </w:pPr>
            <w:r>
              <w:rPr>
                <w:sz w:val="20"/>
              </w:rPr>
              <w:t>Revenue</w:t>
            </w:r>
            <w:r>
              <w:rPr>
                <w:sz w:val="20"/>
                <w:vertAlign w:val="superscript"/>
              </w:rPr>
              <w:t xml:space="preserve"> (1)</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153.5</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7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129.3</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Costs and expenses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Operations and maintenance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34.0</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38.2</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Cost of product sold</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13.8</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2.4</w:t>
            </w:r>
          </w:p>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General and administrative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13.7</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16.1</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Depreciation, amortization and accretion</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11.6</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11.4</w:t>
            </w:r>
          </w:p>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Property and other taxes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2.5</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4.5</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ind w:left="120"/>
            </w:pPr>
            <w:r>
              <w:rPr>
                <w:color w:val="000000"/>
                <w:sz w:val="20"/>
              </w:rPr>
              <w:t>Total costs and expenses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75.6</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72.6</w:t>
            </w:r>
          </w:p>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Operating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77.9</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56.7</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Income from equity method investments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72.7</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48.4</w:t>
            </w:r>
          </w:p>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Dividend income from investment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14.9</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12.8</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Other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7.8</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10.9</w:t>
            </w:r>
          </w:p>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Investment, dividend and other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95.4</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72.1</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Interest expense, net</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19.0</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13.3</w:t>
            </w:r>
          </w:p>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Income before income taxes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154.3</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115.5</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Income tax expense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0.1</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0.1</w:t>
            </w:r>
          </w:p>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Net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154.2</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115.4</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Less: Net income attributable to noncontrolling interests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5.9</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4.7</w:t>
            </w:r>
          </w:p>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Net income attributable to the Partnership</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148.3</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7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110.7</w:t>
            </w:r>
          </w:p>
        </w:tc>
      </w:tr>
      <w:tr w:rsidR="00973A84">
        <w:trPr>
          <w:trHeight w:hRule="exact" w:val="45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Less: General partner's interest in net income attributable to the Partnership</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36.0</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31.6</w:t>
            </w:r>
          </w:p>
        </w:tc>
      </w:tr>
      <w:tr w:rsidR="00973A84">
        <w:trPr>
          <w:trHeight w:hRule="exact" w:val="33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Limited Partners' interest in net income attributable to the Partnership</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112.3</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7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79.1</w:t>
            </w:r>
          </w:p>
        </w:tc>
      </w:tr>
      <w:tr w:rsidR="00973A84">
        <w:trPr>
          <w:trHeight w:hRule="exact" w:val="300"/>
        </w:trPr>
        <w:tc>
          <w:tcPr>
            <w:tcW w:w="600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973A84" w:rsidRDefault="00973A84"/>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973A84" w:rsidRDefault="00973A84"/>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Net income per Limited Partner Unit – Basic and Diluted: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Common</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FFFFFF"/>
            <w:tcMar>
              <w:top w:w="0" w:type="dxa"/>
              <w:left w:w="0" w:type="dxa"/>
              <w:bottom w:w="0" w:type="dxa"/>
              <w:right w:w="0" w:type="dxa"/>
            </w:tcMar>
            <w:vAlign w:val="bottom"/>
          </w:tcPr>
          <w:p w:rsidR="00973A84" w:rsidRDefault="00516B3C">
            <w:r>
              <w:rPr>
                <w:color w:val="000000"/>
                <w:sz w:val="20"/>
              </w:rPr>
              <w:t>$</w:t>
            </w:r>
          </w:p>
        </w:tc>
        <w:tc>
          <w:tcPr>
            <w:tcW w:w="1655" w:type="dxa"/>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0.50</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FFFFFF"/>
            <w:tcMar>
              <w:top w:w="0" w:type="dxa"/>
              <w:left w:w="0" w:type="dxa"/>
              <w:bottom w:w="0" w:type="dxa"/>
              <w:right w:w="0" w:type="dxa"/>
            </w:tcMar>
            <w:vAlign w:val="bottom"/>
          </w:tcPr>
          <w:p w:rsidR="00973A84" w:rsidRDefault="00516B3C">
            <w:r>
              <w:rPr>
                <w:color w:val="000000"/>
                <w:sz w:val="20"/>
              </w:rPr>
              <w:t>$</w:t>
            </w:r>
          </w:p>
        </w:tc>
        <w:tc>
          <w:tcPr>
            <w:tcW w:w="1700" w:type="dxa"/>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0.35</w:t>
            </w:r>
          </w:p>
        </w:tc>
      </w:tr>
      <w:tr w:rsidR="00973A84">
        <w:trPr>
          <w:trHeight w:hRule="exact" w:val="300"/>
        </w:trPr>
        <w:tc>
          <w:tcPr>
            <w:tcW w:w="600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45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Weighted average Limited Partner Units outstanding – Basic and Diluted:</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r>
      <w:tr w:rsidR="00973A84">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Common units – public</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123.8</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123.8</w:t>
            </w:r>
          </w:p>
        </w:tc>
      </w:tr>
      <w:tr w:rsidR="00973A84">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Common units – SPLC</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100.0</w:t>
            </w:r>
          </w:p>
        </w:tc>
        <w:tc>
          <w:tcPr>
            <w:tcW w:w="150"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100.0</w:t>
            </w:r>
          </w:p>
        </w:tc>
      </w:tr>
    </w:tbl>
    <w:p w:rsidR="00973A84" w:rsidRDefault="00516B3C">
      <w:pPr>
        <w:keepNext/>
        <w:spacing w:before="120"/>
      </w:pPr>
      <w:r>
        <w:rPr>
          <w:sz w:val="20"/>
        </w:rPr>
        <w:t> </w:t>
      </w:r>
    </w:p>
    <w:p w:rsidR="00973A84" w:rsidRDefault="00516B3C">
      <w:pPr>
        <w:ind w:left="180" w:hanging="180"/>
      </w:pPr>
      <w:r>
        <w:rPr>
          <w:i/>
          <w:sz w:val="20"/>
          <w:vertAlign w:val="superscript"/>
        </w:rPr>
        <w:t>(1)</w:t>
      </w:r>
      <w:r>
        <w:rPr>
          <w:i/>
          <w:sz w:val="20"/>
        </w:rPr>
        <w:t xml:space="preserve"> Deferred revenue for the three months ended September 30, 2018 and June 30, 2018, including the impact of </w:t>
      </w:r>
      <w:proofErr w:type="spellStart"/>
      <w:r>
        <w:rPr>
          <w:i/>
          <w:sz w:val="20"/>
        </w:rPr>
        <w:t>overshipments</w:t>
      </w:r>
      <w:proofErr w:type="spellEnd"/>
      <w:r>
        <w:rPr>
          <w:i/>
          <w:sz w:val="20"/>
        </w:rPr>
        <w:t xml:space="preserve"> and expiring credits, was $5.3 million and $4.8 million, respectively.  </w:t>
      </w:r>
    </w:p>
    <w:p w:rsidR="00973A84" w:rsidRDefault="00973A84">
      <w:pPr>
        <w:ind w:left="180" w:hanging="180"/>
      </w:pPr>
    </w:p>
    <w:p w:rsidR="00973A84" w:rsidRDefault="00973A84"/>
    <w:p w:rsidR="00973A84" w:rsidRDefault="00973A84"/>
    <w:p w:rsidR="00973A84" w:rsidRDefault="00973A84"/>
    <w:p w:rsidR="00973A84" w:rsidRDefault="00973A84"/>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2"/>
        <w:gridCol w:w="74"/>
        <w:gridCol w:w="100"/>
        <w:gridCol w:w="1646"/>
        <w:gridCol w:w="74"/>
        <w:gridCol w:w="100"/>
        <w:gridCol w:w="1584"/>
      </w:tblGrid>
      <w:tr w:rsidR="00973A84">
        <w:trPr>
          <w:trHeight w:hRule="exact" w:val="630"/>
          <w:jc w:val="center"/>
        </w:trPr>
        <w:tc>
          <w:tcPr>
            <w:tcW w:w="9525" w:type="dxa"/>
            <w:gridSpan w:val="7"/>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b/>
                <w:sz w:val="22"/>
              </w:rPr>
              <w:t>Reconciliation of Adjusted EBITDA and Cash Available for Distribution to Net Income</w:t>
            </w:r>
          </w:p>
        </w:tc>
      </w:tr>
      <w:tr w:rsidR="00973A84">
        <w:trPr>
          <w:trHeight w:hRule="exact" w:val="435"/>
          <w:jc w:val="center"/>
        </w:trPr>
        <w:tc>
          <w:tcPr>
            <w:tcW w:w="592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3525" w:type="dxa"/>
            <w:gridSpan w:val="5"/>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For the Three Months Ended</w:t>
            </w:r>
          </w:p>
        </w:tc>
      </w:tr>
      <w:tr w:rsidR="00973A84">
        <w:trPr>
          <w:trHeight w:hRule="exact" w:val="48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b/>
                <w:sz w:val="16"/>
              </w:rPr>
              <w:t>(in millions of dollars)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September 30,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June 30, 2018</w:t>
            </w:r>
          </w:p>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154.2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5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115.4</w:t>
            </w:r>
          </w:p>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Add:</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lastRenderedPageBreak/>
              <w:t>Depreciation, amortization and accretion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11.6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11.4</w:t>
            </w:r>
          </w:p>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ind w:left="120"/>
            </w:pPr>
            <w:r>
              <w:rPr>
                <w:color w:val="000000"/>
                <w:sz w:val="20"/>
              </w:rPr>
              <w:t>Interest expense, net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19.0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13.3</w:t>
            </w:r>
          </w:p>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Income tax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0.1</w:t>
            </w:r>
          </w:p>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ind w:left="120"/>
            </w:pPr>
            <w:r>
              <w:rPr>
                <w:color w:val="000000"/>
                <w:sz w:val="20"/>
              </w:rPr>
              <w:t>Cash distribution received from equity method investments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88.9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77.4</w:t>
            </w:r>
          </w:p>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ind w:left="120"/>
            </w:pPr>
            <w:r>
              <w:rPr>
                <w:color w:val="000000"/>
                <w:sz w:val="20"/>
              </w:rPr>
              <w:t>Equity method distributions included in other income</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7.8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8.9</w:t>
            </w:r>
          </w:p>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Income from equity method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72.7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48.4</w:t>
            </w:r>
          </w:p>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sz w:val="20"/>
              </w:rPr>
              <w:t>Adjusted EBITDA</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193.3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160.3</w:t>
            </w:r>
          </w:p>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ind w:left="120"/>
            </w:pPr>
            <w:r>
              <w:rPr>
                <w:color w:val="000000"/>
                <w:sz w:val="20"/>
              </w:rPr>
              <w:t>Adjusted EBITDA attributable to noncontrolling interests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6.3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5.1</w:t>
            </w:r>
          </w:p>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sz w:val="20"/>
              </w:rPr>
              <w:t>Adjusted EBITDA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187.0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155.2</w:t>
            </w:r>
          </w:p>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Less: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widowControl w:val="0"/>
              <w:spacing w:before="55" w:after="10"/>
              <w:ind w:left="120"/>
            </w:pPr>
            <w:r>
              <w:rPr>
                <w:sz w:val="20"/>
              </w:rPr>
              <w:t xml:space="preserve">Net interest paid attributable to the Partnership </w:t>
            </w:r>
            <w:r>
              <w:rPr>
                <w:sz w:val="20"/>
                <w:vertAlign w:val="superscript"/>
              </w:rPr>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18.9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13.2</w:t>
            </w:r>
          </w:p>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ind w:left="120"/>
            </w:pPr>
            <w:r>
              <w:rPr>
                <w:color w:val="000000"/>
                <w:sz w:val="20"/>
              </w:rPr>
              <w:t>Income taxes paid attributable to the Partnership</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0.1</w:t>
            </w:r>
          </w:p>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sz w:val="20"/>
              </w:rPr>
              <w:t xml:space="preserve">Maintenance capex attributable to the Partnership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5.7</w:t>
            </w:r>
          </w:p>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Add:</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r>
      <w:tr w:rsidR="00973A84">
        <w:trPr>
          <w:trHeight w:hRule="exact" w:val="495"/>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Net adjustments from volume deficiency payments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w:t>
            </w:r>
          </w:p>
        </w:tc>
      </w:tr>
      <w:tr w:rsidR="00973A84">
        <w:trPr>
          <w:trHeight w:hRule="exact" w:val="300"/>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ind w:left="120"/>
            </w:pPr>
            <w:r>
              <w:rPr>
                <w:color w:val="000000"/>
                <w:sz w:val="20"/>
              </w:rPr>
              <w:t>Reimbursements from Parent included in partners' capital</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7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1.7</w:t>
            </w:r>
          </w:p>
        </w:tc>
      </w:tr>
      <w:tr w:rsidR="00973A84">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sz w:val="20"/>
              </w:rPr>
              <w:t>Cash Available for Distribution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6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163.5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5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136.6</w:t>
            </w:r>
          </w:p>
        </w:tc>
      </w:tr>
    </w:tbl>
    <w:p w:rsidR="00973A84" w:rsidRDefault="00973A84">
      <w:pPr>
        <w:spacing w:before="120"/>
        <w:ind w:left="180" w:hanging="180"/>
      </w:pPr>
    </w:p>
    <w:p w:rsidR="00973A84" w:rsidRDefault="00516B3C">
      <w:pPr>
        <w:ind w:left="180" w:firstLine="180"/>
      </w:pPr>
      <w:r>
        <w:rPr>
          <w:i/>
          <w:sz w:val="20"/>
          <w:vertAlign w:val="superscript"/>
        </w:rPr>
        <w:t>(1)</w:t>
      </w:r>
      <w:r>
        <w:rPr>
          <w:i/>
          <w:sz w:val="20"/>
        </w:rPr>
        <w:t xml:space="preserve"> Amount represents both paid and accrued interest attributable to the period.</w:t>
      </w:r>
    </w:p>
    <w:p w:rsidR="00973A84" w:rsidRDefault="00973A84">
      <w:pPr>
        <w:ind w:left="180" w:hanging="180"/>
      </w:pPr>
    </w:p>
    <w:p w:rsidR="00973A84" w:rsidRDefault="00973A84"/>
    <w:p w:rsidR="00973A84" w:rsidRDefault="00516B3C">
      <w:pPr>
        <w:jc w:val="both"/>
      </w:pPr>
      <w:r>
        <w:rPr>
          <w:sz w:val="20"/>
        </w:rPr>
        <w:t>See</w:t>
      </w:r>
      <w:r>
        <w:rPr>
          <w:i/>
          <w:sz w:val="20"/>
        </w:rPr>
        <w:t xml:space="preserve"> </w:t>
      </w:r>
      <w:r>
        <w:rPr>
          <w:sz w:val="20"/>
        </w:rPr>
        <w:t>“</w:t>
      </w:r>
      <w:r>
        <w:rPr>
          <w:i/>
          <w:sz w:val="20"/>
        </w:rPr>
        <w:t>Non-GAAP Financial Measures</w:t>
      </w:r>
      <w:r>
        <w:rPr>
          <w:sz w:val="20"/>
        </w:rPr>
        <w:t>”</w:t>
      </w:r>
      <w:r>
        <w:rPr>
          <w:i/>
          <w:sz w:val="20"/>
        </w:rPr>
        <w:t xml:space="preserve"> </w:t>
      </w:r>
      <w:r>
        <w:rPr>
          <w:sz w:val="20"/>
        </w:rPr>
        <w:t>later in this press release.</w:t>
      </w:r>
    </w:p>
    <w:p w:rsidR="00973A84" w:rsidRDefault="00973A84">
      <w:pPr>
        <w:jc w:val="both"/>
      </w:pPr>
    </w:p>
    <w:p w:rsidR="00973A84" w:rsidRDefault="00973A84"/>
    <w:p w:rsidR="00973A84" w:rsidRDefault="00973A84"/>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74"/>
        <w:gridCol w:w="100"/>
        <w:gridCol w:w="1588"/>
        <w:gridCol w:w="74"/>
        <w:gridCol w:w="100"/>
        <w:gridCol w:w="1541"/>
      </w:tblGrid>
      <w:tr w:rsidR="00973A84">
        <w:trPr>
          <w:trHeight w:hRule="exact" w:val="600"/>
          <w:jc w:val="center"/>
        </w:trPr>
        <w:tc>
          <w:tcPr>
            <w:tcW w:w="10020" w:type="dxa"/>
            <w:gridSpan w:val="7"/>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b/>
                <w:color w:val="000000"/>
                <w:sz w:val="22"/>
              </w:rPr>
              <w:t>Reconciliation of Adjusted EBITDA and Cash Available for Distribution to Net Cash Provided by Operating Activities</w:t>
            </w:r>
          </w:p>
        </w:tc>
      </w:tr>
      <w:tr w:rsidR="00973A84">
        <w:trPr>
          <w:trHeight w:hRule="exact" w:val="300"/>
          <w:jc w:val="center"/>
        </w:trPr>
        <w:tc>
          <w:tcPr>
            <w:tcW w:w="652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3420" w:type="dxa"/>
            <w:gridSpan w:val="5"/>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For the Three Months Ended</w:t>
            </w:r>
          </w:p>
        </w:tc>
      </w:tr>
      <w:tr w:rsidR="00973A84">
        <w:trPr>
          <w:trHeight w:hRule="exact" w:val="495"/>
          <w:jc w:val="center"/>
        </w:trPr>
        <w:tc>
          <w:tcPr>
            <w:tcW w:w="6525"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b/>
                <w:sz w:val="16"/>
              </w:rPr>
              <w:t>(in millions of dollars)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6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jc w:val="center"/>
            </w:pPr>
            <w:r>
              <w:rPr>
                <w:b/>
                <w:color w:val="000000"/>
                <w:sz w:val="16"/>
              </w:rPr>
              <w:t>September 30,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973A84"/>
        </w:tc>
        <w:tc>
          <w:tcPr>
            <w:tcW w:w="165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June 30, 2018</w:t>
            </w:r>
          </w:p>
        </w:tc>
      </w:tr>
      <w:tr w:rsidR="00973A84">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5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154.4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5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104.2</w:t>
            </w:r>
          </w:p>
        </w:tc>
      </w:tr>
      <w:tr w:rsidR="00973A84">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r>
      <w:tr w:rsidR="00973A84">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Interest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19.0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13.3</w:t>
            </w:r>
          </w:p>
        </w:tc>
      </w:tr>
      <w:tr w:rsidR="00973A84">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ind w:left="120"/>
            </w:pPr>
            <w:r>
              <w:rPr>
                <w:color w:val="000000"/>
                <w:sz w:val="20"/>
              </w:rPr>
              <w:t>Income tax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0.1</w:t>
            </w:r>
          </w:p>
        </w:tc>
      </w:tr>
      <w:tr w:rsidR="00973A84">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Return of investment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21.5</w:t>
            </w:r>
          </w:p>
        </w:tc>
      </w:tr>
      <w:tr w:rsidR="00973A84">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r>
      <w:tr w:rsidR="00973A84">
        <w:trPr>
          <w:trHeight w:hRule="exact" w:val="315"/>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Change in deferred revenue and other unearned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w:t>
            </w:r>
          </w:p>
        </w:tc>
      </w:tr>
      <w:tr w:rsidR="00973A84">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ind w:left="120"/>
            </w:pPr>
            <w:r>
              <w:rPr>
                <w:color w:val="000000"/>
                <w:sz w:val="20"/>
              </w:rPr>
              <w:t>Non-cash interest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0.2</w:t>
            </w:r>
          </w:p>
        </w:tc>
      </w:tr>
      <w:tr w:rsidR="00973A84">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Change in other assets and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(10.6)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(20.1)</w:t>
            </w:r>
          </w:p>
        </w:tc>
      </w:tr>
      <w:tr w:rsidR="00973A84">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sz w:val="20"/>
              </w:rPr>
              <w:t>Adjusted EBITDA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193.3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160.3</w:t>
            </w:r>
          </w:p>
        </w:tc>
      </w:tr>
      <w:tr w:rsidR="00973A84">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15"/>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ind w:left="120"/>
            </w:pPr>
            <w:r>
              <w:rPr>
                <w:color w:val="000000"/>
                <w:sz w:val="20"/>
              </w:rPr>
              <w:t>Adjusted EBITDA attributable to noncontrolling interests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6.3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5.1</w:t>
            </w:r>
          </w:p>
        </w:tc>
      </w:tr>
      <w:tr w:rsidR="00973A84">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sz w:val="20"/>
              </w:rPr>
              <w:t>Adjusted EBITDA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187.0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155.2</w:t>
            </w:r>
          </w:p>
        </w:tc>
      </w:tr>
      <w:tr w:rsidR="00973A84">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r>
      <w:tr w:rsidR="00973A84">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widowControl w:val="0"/>
              <w:spacing w:before="55" w:after="10"/>
              <w:ind w:left="120"/>
            </w:pPr>
            <w:r>
              <w:rPr>
                <w:sz w:val="20"/>
              </w:rPr>
              <w:lastRenderedPageBreak/>
              <w:t xml:space="preserve">Net interest paid attributable to the Partnership </w:t>
            </w:r>
            <w:r>
              <w:rPr>
                <w:sz w:val="20"/>
                <w:vertAlign w:val="superscript"/>
              </w:rPr>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18.9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13.2</w:t>
            </w:r>
          </w:p>
        </w:tc>
      </w:tr>
      <w:tr w:rsidR="00973A84">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ind w:left="120"/>
            </w:pPr>
            <w:r>
              <w:rPr>
                <w:color w:val="000000"/>
                <w:sz w:val="20"/>
              </w:rPr>
              <w:t>Income taxes paid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0.1</w:t>
            </w:r>
          </w:p>
        </w:tc>
      </w:tr>
      <w:tr w:rsidR="00973A84">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sz w:val="20"/>
              </w:rPr>
              <w:t xml:space="preserve">Maintenance capex attributable to the Partnership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5.7</w:t>
            </w:r>
          </w:p>
        </w:tc>
      </w:tr>
      <w:tr w:rsidR="00973A84">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r>
      <w:tr w:rsidR="00973A84">
        <w:trPr>
          <w:trHeight w:hRule="exact" w:val="51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ind w:left="120"/>
            </w:pPr>
            <w:r>
              <w:rPr>
                <w:color w:val="000000"/>
                <w:sz w:val="20"/>
              </w:rPr>
              <w:t>Net adjustments from volume deficiency payments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w:t>
            </w:r>
          </w:p>
        </w:tc>
      </w:tr>
      <w:tr w:rsidR="00973A84">
        <w:trPr>
          <w:trHeight w:hRule="exact" w:val="33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rsidR="00973A84" w:rsidRDefault="00516B3C">
            <w:pPr>
              <w:spacing w:before="55" w:after="10"/>
              <w:ind w:left="120"/>
            </w:pPr>
            <w:r>
              <w:rPr>
                <w:color w:val="000000"/>
                <w:sz w:val="20"/>
              </w:rPr>
              <w:t>Reimbursements from Parent included in partners'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973A84" w:rsidRDefault="00973A84"/>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rsidR="00973A84" w:rsidRDefault="00516B3C">
            <w:pPr>
              <w:jc w:val="right"/>
            </w:pPr>
            <w:r>
              <w:rPr>
                <w:color w:val="000000"/>
                <w:sz w:val="20"/>
              </w:rPr>
              <w:t>1.7</w:t>
            </w:r>
          </w:p>
        </w:tc>
      </w:tr>
      <w:tr w:rsidR="00973A84">
        <w:trPr>
          <w:trHeight w:hRule="exact" w:val="345"/>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sz w:val="20"/>
              </w:rPr>
              <w:t>Cash Available for Distribution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5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163.5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5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136.6</w:t>
            </w:r>
          </w:p>
        </w:tc>
      </w:tr>
    </w:tbl>
    <w:p w:rsidR="00973A84" w:rsidRDefault="00973A84">
      <w:pPr>
        <w:spacing w:before="120"/>
        <w:ind w:left="180" w:hanging="180"/>
      </w:pPr>
    </w:p>
    <w:p w:rsidR="00973A84" w:rsidRDefault="00516B3C">
      <w:pPr>
        <w:ind w:left="180" w:firstLine="180"/>
      </w:pPr>
      <w:r>
        <w:rPr>
          <w:i/>
          <w:sz w:val="20"/>
          <w:vertAlign w:val="superscript"/>
        </w:rPr>
        <w:t>(1)</w:t>
      </w:r>
      <w:r>
        <w:rPr>
          <w:i/>
          <w:sz w:val="20"/>
        </w:rPr>
        <w:t xml:space="preserve"> Amount represents both paid and accrued interest attributable to the period.</w:t>
      </w:r>
    </w:p>
    <w:p w:rsidR="00973A84" w:rsidRDefault="00973A84"/>
    <w:p w:rsidR="00973A84" w:rsidRDefault="00516B3C">
      <w:pPr>
        <w:jc w:val="both"/>
      </w:pPr>
      <w:r>
        <w:rPr>
          <w:sz w:val="20"/>
        </w:rPr>
        <w:t>See</w:t>
      </w:r>
      <w:r>
        <w:rPr>
          <w:i/>
          <w:sz w:val="20"/>
        </w:rPr>
        <w:t xml:space="preserve"> </w:t>
      </w:r>
      <w:r>
        <w:rPr>
          <w:sz w:val="20"/>
        </w:rPr>
        <w:t>“</w:t>
      </w:r>
      <w:r>
        <w:rPr>
          <w:i/>
          <w:sz w:val="20"/>
        </w:rPr>
        <w:t>Non-GAAP Financial Measures</w:t>
      </w:r>
      <w:r>
        <w:rPr>
          <w:sz w:val="20"/>
        </w:rPr>
        <w:t>”</w:t>
      </w:r>
      <w:r>
        <w:rPr>
          <w:i/>
          <w:sz w:val="20"/>
        </w:rPr>
        <w:t xml:space="preserve"> </w:t>
      </w:r>
      <w:r>
        <w:rPr>
          <w:sz w:val="20"/>
        </w:rPr>
        <w:t>later in this press release.</w:t>
      </w:r>
    </w:p>
    <w:p w:rsidR="00973A84" w:rsidRDefault="00973A84">
      <w:pPr>
        <w:jc w:val="both"/>
      </w:pPr>
    </w:p>
    <w:p w:rsidR="00973A84" w:rsidRDefault="00973A84">
      <w:pPr>
        <w:jc w:val="both"/>
      </w:pPr>
    </w:p>
    <w:p w:rsidR="00973A84" w:rsidRDefault="00973A84">
      <w:pPr>
        <w:keepNext/>
      </w:pPr>
    </w:p>
    <w:p w:rsidR="00973A84" w:rsidRDefault="00973A84"/>
    <w:p w:rsidR="00973A84" w:rsidRDefault="00973A84"/>
    <w:p w:rsidR="00973A84" w:rsidRDefault="00973A84"/>
    <w:p w:rsidR="00973A84" w:rsidRDefault="00973A84"/>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7"/>
        <w:gridCol w:w="269"/>
        <w:gridCol w:w="100"/>
        <w:gridCol w:w="1368"/>
        <w:gridCol w:w="179"/>
        <w:gridCol w:w="100"/>
        <w:gridCol w:w="1397"/>
      </w:tblGrid>
      <w:tr w:rsidR="00973A84">
        <w:trPr>
          <w:trHeight w:hRule="exact" w:val="300"/>
          <w:jc w:val="center"/>
        </w:trPr>
        <w:tc>
          <w:tcPr>
            <w:tcW w:w="10410" w:type="dxa"/>
            <w:gridSpan w:val="7"/>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b/>
                <w:color w:val="000000"/>
                <w:sz w:val="22"/>
              </w:rPr>
              <w:t>Distribution Information</w:t>
            </w:r>
          </w:p>
        </w:tc>
      </w:tr>
      <w:tr w:rsidR="00973A84">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27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8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b/>
                <w:sz w:val="16"/>
              </w:rPr>
              <w:t>(in millions of dollars, except per-unit and ratio data)</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3150" w:type="dxa"/>
            <w:gridSpan w:val="5"/>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For the Three Months Ended</w:t>
            </w:r>
          </w:p>
        </w:tc>
      </w:tr>
      <w:tr w:rsidR="00973A84">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jc w:val="center"/>
            </w:pPr>
            <w:r>
              <w:rPr>
                <w:b/>
                <w:color w:val="000000"/>
                <w:sz w:val="16"/>
              </w:rPr>
              <w:t>September 30, 2018</w:t>
            </w:r>
          </w:p>
        </w:tc>
        <w:tc>
          <w:tcPr>
            <w:tcW w:w="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jc w:val="center"/>
            </w:pPr>
            <w:r>
              <w:rPr>
                <w:b/>
                <w:sz w:val="16"/>
              </w:rPr>
              <w:t>June 30, 2018</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Quarterly distribution declared per unit</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516B3C">
            <w:r>
              <w:rPr>
                <w:color w:val="000000"/>
                <w:sz w:val="20"/>
              </w:rPr>
              <w:t>$</w:t>
            </w:r>
          </w:p>
        </w:tc>
        <w:tc>
          <w:tcPr>
            <w:tcW w:w="137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0.3820</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516B3C">
            <w:r>
              <w:rPr>
                <w:color w:val="000000"/>
                <w:sz w:val="20"/>
              </w:rPr>
              <w:t>$</w:t>
            </w:r>
          </w:p>
        </w:tc>
        <w:tc>
          <w:tcPr>
            <w:tcW w:w="14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0.3650</w:t>
            </w:r>
          </w:p>
        </w:tc>
      </w:tr>
      <w:tr w:rsidR="00973A84">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sz w:val="20"/>
              </w:rPr>
              <w:t xml:space="preserve">Adjusted EBITDA attributable to the Partnership </w:t>
            </w:r>
            <w:r>
              <w:rPr>
                <w:sz w:val="20"/>
                <w:vertAlign w:val="superscript"/>
              </w:rPr>
              <w:t>(1)</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r>
              <w:rPr>
                <w:color w:val="000000"/>
                <w:sz w:val="20"/>
              </w:rPr>
              <w:t>$</w:t>
            </w:r>
          </w:p>
        </w:tc>
        <w:tc>
          <w:tcPr>
            <w:tcW w:w="137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187.0</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r>
              <w:rPr>
                <w:color w:val="000000"/>
                <w:sz w:val="20"/>
              </w:rPr>
              <w:t>$</w:t>
            </w:r>
          </w:p>
        </w:tc>
        <w:tc>
          <w:tcPr>
            <w:tcW w:w="140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155.2</w:t>
            </w:r>
          </w:p>
        </w:tc>
      </w:tr>
      <w:tr w:rsidR="00973A84">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sz w:val="20"/>
              </w:rPr>
              <w:t>Cash available for distribution attributable to the Partnership</w:t>
            </w:r>
            <w:r>
              <w:rPr>
                <w:sz w:val="20"/>
                <w:vertAlign w:val="superscript"/>
              </w:rPr>
              <w:t xml:space="preserve"> (1)</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r>
              <w:rPr>
                <w:color w:val="000000"/>
                <w:sz w:val="20"/>
              </w:rPr>
              <w:t>$</w:t>
            </w:r>
          </w:p>
        </w:tc>
        <w:tc>
          <w:tcPr>
            <w:tcW w:w="137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163.5</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r>
              <w:rPr>
                <w:color w:val="000000"/>
                <w:sz w:val="20"/>
              </w:rPr>
              <w:t>$</w:t>
            </w:r>
          </w:p>
        </w:tc>
        <w:tc>
          <w:tcPr>
            <w:tcW w:w="140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136.6</w:t>
            </w:r>
          </w:p>
        </w:tc>
      </w:tr>
      <w:tr w:rsidR="00973A84">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Distribution declared:</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8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Limited partner common units</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973A84" w:rsidRDefault="00516B3C">
            <w:r>
              <w:rPr>
                <w:sz w:val="20"/>
              </w:rPr>
              <w:t>$</w:t>
            </w:r>
          </w:p>
        </w:tc>
        <w:tc>
          <w:tcPr>
            <w:tcW w:w="1370" w:type="dxa"/>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sz w:val="20"/>
              </w:rPr>
              <w:t>85.5</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400" w:type="dxa"/>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81.7</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General partner units</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right"/>
            </w:pPr>
            <w:r>
              <w:rPr>
                <w:sz w:val="20"/>
              </w:rPr>
              <w:t>35.5</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31.7</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Total distribution declared</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3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121.0</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4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113.4</w:t>
            </w:r>
          </w:p>
        </w:tc>
      </w:tr>
      <w:tr w:rsidR="00973A84">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27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double" w:sz="8" w:space="0" w:color="000000"/>
              <w:left w:val="nil"/>
              <w:bottom w:val="nil"/>
              <w:right w:val="nil"/>
            </w:tcBorders>
            <w:shd w:val="clear" w:color="auto" w:fill="auto"/>
            <w:tcMar>
              <w:top w:w="0" w:type="dxa"/>
              <w:left w:w="0" w:type="dxa"/>
              <w:bottom w:w="0" w:type="dxa"/>
              <w:right w:w="0" w:type="dxa"/>
            </w:tcMar>
            <w:vAlign w:val="bottom"/>
          </w:tcPr>
          <w:p w:rsidR="00973A84" w:rsidRDefault="00973A84"/>
        </w:tc>
        <w:tc>
          <w:tcPr>
            <w:tcW w:w="18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double" w:sz="8" w:space="0" w:color="000000"/>
              <w:left w:val="nil"/>
              <w:bottom w:val="nil"/>
              <w:right w:val="nil"/>
            </w:tcBorders>
            <w:shd w:val="clear" w:color="auto" w:fill="auto"/>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widowControl w:val="0"/>
              <w:spacing w:before="55" w:after="10"/>
            </w:pPr>
            <w:r>
              <w:rPr>
                <w:sz w:val="20"/>
              </w:rPr>
              <w:t>Coverage Ratio</w:t>
            </w:r>
            <w:r>
              <w:rPr>
                <w:sz w:val="20"/>
                <w:vertAlign w:val="superscript"/>
              </w:rPr>
              <w:t xml:space="preserve"> (2)</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1.4</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1.2</w:t>
            </w:r>
          </w:p>
        </w:tc>
      </w:tr>
    </w:tbl>
    <w:p w:rsidR="00973A84" w:rsidRDefault="00973A84">
      <w:pPr>
        <w:spacing w:before="120"/>
      </w:pPr>
    </w:p>
    <w:p w:rsidR="00973A84" w:rsidRDefault="00516B3C">
      <w:r>
        <w:rPr>
          <w:i/>
          <w:sz w:val="20"/>
          <w:vertAlign w:val="superscript"/>
        </w:rPr>
        <w:t>(1)</w:t>
      </w:r>
      <w:r>
        <w:rPr>
          <w:i/>
          <w:sz w:val="20"/>
        </w:rPr>
        <w:t xml:space="preserve"> Non-GAAP measures. See reconciliation tables earlier in this press release. </w:t>
      </w:r>
    </w:p>
    <w:p w:rsidR="00973A84" w:rsidRDefault="00516B3C">
      <w:r>
        <w:rPr>
          <w:i/>
          <w:sz w:val="20"/>
          <w:vertAlign w:val="superscript"/>
        </w:rPr>
        <w:t>(2)</w:t>
      </w:r>
      <w:r>
        <w:rPr>
          <w:i/>
          <w:sz w:val="20"/>
        </w:rPr>
        <w:t xml:space="preserve"> Coverage ratio is equal to Cash Available for Distribution attributable to the Partnership divided by total distribution declared.</w:t>
      </w:r>
    </w:p>
    <w:p w:rsidR="00973A84" w:rsidRDefault="00973A84"/>
    <w:p w:rsidR="00973A84" w:rsidRDefault="00973A84"/>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39"/>
        <w:gridCol w:w="100"/>
        <w:gridCol w:w="1458"/>
        <w:gridCol w:w="75"/>
        <w:gridCol w:w="100"/>
        <w:gridCol w:w="1337"/>
      </w:tblGrid>
      <w:tr w:rsidR="00973A84">
        <w:trPr>
          <w:trHeight w:hRule="exact" w:val="300"/>
          <w:jc w:val="center"/>
        </w:trPr>
        <w:tc>
          <w:tcPr>
            <w:tcW w:w="8355" w:type="dxa"/>
            <w:gridSpan w:val="7"/>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b/>
                <w:color w:val="000000"/>
                <w:sz w:val="22"/>
              </w:rPr>
              <w:t>Capital Expenditures</w:t>
            </w:r>
          </w:p>
        </w:tc>
      </w:tr>
      <w:tr w:rsidR="00973A84">
        <w:trPr>
          <w:trHeight w:hRule="exact" w:val="300"/>
          <w:jc w:val="center"/>
        </w:trPr>
        <w:tc>
          <w:tcPr>
            <w:tcW w:w="504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b/>
                <w:sz w:val="16"/>
              </w:rPr>
              <w:t>(in millions of dollars)</w:t>
            </w:r>
          </w:p>
        </w:tc>
        <w:tc>
          <w:tcPr>
            <w:tcW w:w="24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3075" w:type="dxa"/>
            <w:gridSpan w:val="5"/>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For the Three Months Ended</w:t>
            </w:r>
          </w:p>
        </w:tc>
      </w:tr>
      <w:tr w:rsidR="00973A84">
        <w:trPr>
          <w:trHeight w:hRule="exact" w:val="300"/>
          <w:jc w:val="center"/>
        </w:trPr>
        <w:tc>
          <w:tcPr>
            <w:tcW w:w="504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24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6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color w:val="000000"/>
                <w:sz w:val="16"/>
              </w:rPr>
              <w:t>September 20,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973A84"/>
        </w:tc>
        <w:tc>
          <w:tcPr>
            <w:tcW w:w="144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June 30, 2018</w:t>
            </w:r>
          </w:p>
        </w:tc>
      </w:tr>
      <w:tr w:rsidR="00973A84">
        <w:trPr>
          <w:trHeight w:hRule="exact" w:val="300"/>
          <w:jc w:val="center"/>
        </w:trPr>
        <w:tc>
          <w:tcPr>
            <w:tcW w:w="504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Expansion capital expenditures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9.7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3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5.7</w:t>
            </w:r>
          </w:p>
        </w:tc>
      </w:tr>
      <w:tr w:rsidR="00973A84">
        <w:trPr>
          <w:trHeight w:hRule="exact" w:val="300"/>
          <w:jc w:val="center"/>
        </w:trPr>
        <w:tc>
          <w:tcPr>
            <w:tcW w:w="504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Maintenance capital expenditures</w:t>
            </w:r>
          </w:p>
        </w:tc>
        <w:tc>
          <w:tcPr>
            <w:tcW w:w="24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3.5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10.0</w:t>
            </w:r>
          </w:p>
        </w:tc>
      </w:tr>
      <w:tr w:rsidR="00973A84">
        <w:trPr>
          <w:trHeight w:hRule="exact" w:val="300"/>
          <w:jc w:val="center"/>
        </w:trPr>
        <w:tc>
          <w:tcPr>
            <w:tcW w:w="504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Total capital expenditures paid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4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13.2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3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15.7</w:t>
            </w:r>
          </w:p>
        </w:tc>
      </w:tr>
    </w:tbl>
    <w:p w:rsidR="00973A84" w:rsidRDefault="00973A84">
      <w:pPr>
        <w:spacing w:before="120"/>
        <w:ind w:left="180" w:firstLine="180"/>
      </w:pPr>
    </w:p>
    <w:p w:rsidR="00973A84" w:rsidRDefault="00973A84">
      <w:pPr>
        <w:ind w:left="180" w:hanging="180"/>
      </w:pPr>
    </w:p>
    <w:p w:rsidR="00973A84" w:rsidRDefault="00973A84">
      <w:pPr>
        <w:jc w:val="center"/>
      </w:pPr>
    </w:p>
    <w:p w:rsidR="00973A84" w:rsidRDefault="00973A84">
      <w:pPr>
        <w:jc w:val="cente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39"/>
        <w:gridCol w:w="100"/>
        <w:gridCol w:w="1457"/>
        <w:gridCol w:w="90"/>
        <w:gridCol w:w="100"/>
        <w:gridCol w:w="1352"/>
      </w:tblGrid>
      <w:tr w:rsidR="00973A84">
        <w:trPr>
          <w:trHeight w:hRule="exact" w:val="300"/>
          <w:jc w:val="center"/>
        </w:trPr>
        <w:tc>
          <w:tcPr>
            <w:tcW w:w="8745" w:type="dxa"/>
            <w:gridSpan w:val="7"/>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b/>
                <w:color w:val="000000"/>
                <w:sz w:val="22"/>
              </w:rPr>
              <w:t>Condensed Consolidated Balance Sheet Information</w:t>
            </w:r>
          </w:p>
        </w:tc>
      </w:tr>
      <w:tr w:rsidR="00973A84">
        <w:trPr>
          <w:trHeight w:hRule="exact" w:val="300"/>
          <w:jc w:val="center"/>
        </w:trPr>
        <w:tc>
          <w:tcPr>
            <w:tcW w:w="540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b/>
                <w:sz w:val="16"/>
              </w:rPr>
              <w:t>(in millions of dollars)</w:t>
            </w:r>
          </w:p>
        </w:tc>
        <w:tc>
          <w:tcPr>
            <w:tcW w:w="24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60" w:type="dxa"/>
            <w:gridSpan w:val="2"/>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color w:val="000000"/>
                <w:sz w:val="16"/>
              </w:rPr>
              <w:t>September 30, 2018</w:t>
            </w:r>
          </w:p>
        </w:tc>
        <w:tc>
          <w:tcPr>
            <w:tcW w:w="9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55" w:type="dxa"/>
            <w:gridSpan w:val="2"/>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June 30, 2018</w:t>
            </w:r>
          </w:p>
        </w:tc>
      </w:tr>
      <w:tr w:rsidR="00973A84">
        <w:trPr>
          <w:trHeight w:hRule="exact" w:val="300"/>
          <w:jc w:val="center"/>
        </w:trPr>
        <w:tc>
          <w:tcPr>
            <w:tcW w:w="54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Cash and cash equivalents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199.5</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r>
              <w:rPr>
                <w:color w:val="000000"/>
                <w:sz w:val="20"/>
              </w:rPr>
              <w:t>$</w:t>
            </w:r>
          </w:p>
        </w:tc>
        <w:tc>
          <w:tcPr>
            <w:tcW w:w="13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174.9</w:t>
            </w:r>
          </w:p>
        </w:tc>
      </w:tr>
      <w:tr w:rsidR="00973A84">
        <w:trPr>
          <w:trHeight w:hRule="exact" w:val="300"/>
          <w:jc w:val="center"/>
        </w:trPr>
        <w:tc>
          <w:tcPr>
            <w:tcW w:w="540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Property, plant &amp; equipment, net</w:t>
            </w:r>
          </w:p>
        </w:tc>
        <w:tc>
          <w:tcPr>
            <w:tcW w:w="24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743.7</w:t>
            </w:r>
          </w:p>
        </w:tc>
        <w:tc>
          <w:tcPr>
            <w:tcW w:w="9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741.2</w:t>
            </w:r>
          </w:p>
        </w:tc>
      </w:tr>
      <w:tr w:rsidR="00973A84">
        <w:trPr>
          <w:trHeight w:hRule="exact" w:val="300"/>
          <w:jc w:val="center"/>
        </w:trPr>
        <w:tc>
          <w:tcPr>
            <w:tcW w:w="54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Total assets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1,898.7</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1,870.4</w:t>
            </w:r>
          </w:p>
        </w:tc>
      </w:tr>
      <w:tr w:rsidR="00973A84">
        <w:trPr>
          <w:trHeight w:hRule="exact" w:val="300"/>
          <w:jc w:val="center"/>
        </w:trPr>
        <w:tc>
          <w:tcPr>
            <w:tcW w:w="540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Related party debt</w:t>
            </w:r>
          </w:p>
        </w:tc>
        <w:tc>
          <w:tcPr>
            <w:tcW w:w="24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2,090.5</w:t>
            </w:r>
          </w:p>
        </w:tc>
        <w:tc>
          <w:tcPr>
            <w:tcW w:w="9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55"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2,091.5</w:t>
            </w:r>
          </w:p>
        </w:tc>
      </w:tr>
      <w:tr w:rsidR="00973A84">
        <w:trPr>
          <w:trHeight w:hRule="exact" w:val="300"/>
          <w:jc w:val="center"/>
        </w:trPr>
        <w:tc>
          <w:tcPr>
            <w:tcW w:w="540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Total (deficit) equity</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(283.2)</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(320.8)</w:t>
            </w:r>
          </w:p>
        </w:tc>
      </w:tr>
    </w:tbl>
    <w:p w:rsidR="00973A84" w:rsidRDefault="00973A84">
      <w:pPr>
        <w:spacing w:before="120"/>
        <w:ind w:left="180" w:hanging="180"/>
      </w:pPr>
    </w:p>
    <w:p w:rsidR="00973A84" w:rsidRDefault="00973A8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1"/>
        <w:gridCol w:w="75"/>
        <w:gridCol w:w="100"/>
        <w:gridCol w:w="1366"/>
        <w:gridCol w:w="75"/>
        <w:gridCol w:w="100"/>
        <w:gridCol w:w="1393"/>
      </w:tblGrid>
      <w:tr w:rsidR="00973A84">
        <w:trPr>
          <w:trHeight w:hRule="exact" w:val="570"/>
          <w:jc w:val="center"/>
        </w:trPr>
        <w:tc>
          <w:tcPr>
            <w:tcW w:w="10110" w:type="dxa"/>
            <w:gridSpan w:val="7"/>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b/>
                <w:color w:val="000000"/>
                <w:sz w:val="22"/>
              </w:rPr>
              <w:t>Pipeline and Terminal Volumes and Revenue per Barrel</w:t>
            </w:r>
          </w:p>
        </w:tc>
      </w:tr>
      <w:tr w:rsidR="00973A84">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3045" w:type="dxa"/>
            <w:gridSpan w:val="5"/>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color w:val="000000"/>
                <w:sz w:val="16"/>
              </w:rPr>
              <w:t>For the Three Months Ended</w:t>
            </w:r>
          </w:p>
        </w:tc>
      </w:tr>
      <w:tr w:rsidR="00973A84">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color w:val="000000"/>
                <w:sz w:val="16"/>
              </w:rPr>
              <w:t>September 30, 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jc w:val="center"/>
            </w:pPr>
            <w:r>
              <w:rPr>
                <w:b/>
                <w:sz w:val="16"/>
              </w:rPr>
              <w:t>June 30, 2018</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widowControl w:val="0"/>
              <w:spacing w:before="55" w:after="10"/>
            </w:pPr>
            <w:r>
              <w:rPr>
                <w:b/>
                <w:sz w:val="20"/>
              </w:rPr>
              <w:t>Pipeline throughput (thousands of barrels per day)</w:t>
            </w:r>
            <w:r>
              <w:rPr>
                <w:b/>
                <w:sz w:val="20"/>
                <w:vertAlign w:val="superscript"/>
              </w:rPr>
              <w:t xml:space="preserve"> (1)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Zydeco – Mainlines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657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661</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Zydeco – Other segments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230</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Zydeco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901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891</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Amberjack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359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309</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Mars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580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451</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Bengal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536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567</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Poseidon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224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226</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Auger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81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48</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Delta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252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201</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 xml:space="preserve">Na </w:t>
            </w:r>
            <w:proofErr w:type="spellStart"/>
            <w:r>
              <w:rPr>
                <w:color w:val="000000"/>
                <w:sz w:val="20"/>
              </w:rPr>
              <w:t>Kika</w:t>
            </w:r>
            <w:proofErr w:type="spellEnd"/>
            <w:r>
              <w:rPr>
                <w:color w:val="000000"/>
                <w:sz w:val="20"/>
              </w:rPr>
              <w:t xml:space="preserve">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41</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Odyssey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130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90</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LOCAP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1,240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1,254</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spacing w:before="55" w:after="10"/>
            </w:pPr>
            <w:r>
              <w:rPr>
                <w:color w:val="000000"/>
                <w:sz w:val="20"/>
              </w:rPr>
              <w:t>Other systems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300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350</w:t>
            </w:r>
          </w:p>
        </w:tc>
      </w:tr>
      <w:tr w:rsidR="00973A84">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sz w:val="20"/>
              </w:rPr>
              <w:t>Terminals</w:t>
            </w:r>
            <w:r>
              <w:rPr>
                <w:sz w:val="20"/>
                <w:vertAlign w:val="superscript"/>
              </w:rPr>
              <w:t xml:space="preserve"> (2)(5)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color w:val="000000"/>
                <w:sz w:val="20"/>
              </w:rPr>
              <w:t xml:space="preserve">Lockport </w:t>
            </w:r>
            <w:proofErr w:type="spellStart"/>
            <w:r>
              <w:rPr>
                <w:color w:val="000000"/>
                <w:sz w:val="20"/>
              </w:rPr>
              <w:t>terminaling</w:t>
            </w:r>
            <w:proofErr w:type="spellEnd"/>
            <w:r>
              <w:rPr>
                <w:color w:val="000000"/>
                <w:sz w:val="20"/>
              </w:rPr>
              <w:t xml:space="preserve"> throughput and storage volumes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234</w:t>
            </w:r>
          </w:p>
        </w:tc>
      </w:tr>
      <w:tr w:rsidR="00973A84">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spacing w:before="55" w:after="10"/>
            </w:pPr>
            <w:r>
              <w:rPr>
                <w:b/>
                <w:color w:val="000000"/>
                <w:sz w:val="20"/>
              </w:rPr>
              <w:t>Revenue per barrel ($ per barrel)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sz w:val="20"/>
              </w:rPr>
              <w:t>Zydeco total system</w:t>
            </w:r>
            <w:r>
              <w:rPr>
                <w:sz w:val="20"/>
                <w:vertAlign w:val="superscript"/>
              </w:rPr>
              <w:t xml:space="preserve"> (3)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r>
              <w:rPr>
                <w:color w:val="000000"/>
                <w:sz w:val="20"/>
              </w:rPr>
              <w:t>$</w:t>
            </w:r>
          </w:p>
        </w:tc>
        <w:tc>
          <w:tcPr>
            <w:tcW w:w="137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0.79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0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r>
              <w:rPr>
                <w:color w:val="000000"/>
                <w:sz w:val="20"/>
              </w:rPr>
              <w:t>$</w:t>
            </w:r>
          </w:p>
        </w:tc>
        <w:tc>
          <w:tcPr>
            <w:tcW w:w="1400" w:type="dxa"/>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0.81</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widowControl w:val="0"/>
              <w:spacing w:before="55" w:after="10"/>
            </w:pPr>
            <w:r>
              <w:rPr>
                <w:sz w:val="20"/>
              </w:rPr>
              <w:t xml:space="preserve">Amberjack total system </w:t>
            </w:r>
            <w:r>
              <w:rPr>
                <w:sz w:val="20"/>
                <w:vertAlign w:val="superscript"/>
              </w:rPr>
              <w:t>(3)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2.48</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sz w:val="20"/>
              </w:rPr>
              <w:t>Mars total system</w:t>
            </w:r>
            <w:r>
              <w:rPr>
                <w:sz w:val="20"/>
                <w:vertAlign w:val="superscript"/>
              </w:rPr>
              <w:t xml:space="preserve"> (3)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1.22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1.15</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widowControl w:val="0"/>
              <w:spacing w:before="55" w:after="10"/>
            </w:pPr>
            <w:r>
              <w:rPr>
                <w:sz w:val="20"/>
              </w:rPr>
              <w:t>Bengal total system</w:t>
            </w:r>
            <w:r>
              <w:rPr>
                <w:sz w:val="20"/>
                <w:vertAlign w:val="superscript"/>
              </w:rPr>
              <w:t xml:space="preserve"> (3)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0.35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0.34</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sz w:val="20"/>
              </w:rPr>
              <w:t xml:space="preserve">Auger total system </w:t>
            </w:r>
            <w:r>
              <w:rPr>
                <w:sz w:val="20"/>
                <w:vertAlign w:val="superscript"/>
              </w:rPr>
              <w:t>(3)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1.35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1.30</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widowControl w:val="0"/>
              <w:spacing w:before="55" w:after="10"/>
            </w:pPr>
            <w:r>
              <w:rPr>
                <w:sz w:val="20"/>
              </w:rPr>
              <w:t>Delta total system</w:t>
            </w:r>
            <w:r>
              <w:rPr>
                <w:sz w:val="20"/>
                <w:vertAlign w:val="superscript"/>
              </w:rPr>
              <w:t xml:space="preserve"> (3)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0.54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0.56</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sz w:val="20"/>
              </w:rPr>
              <w:t xml:space="preserve">Na </w:t>
            </w:r>
            <w:proofErr w:type="spellStart"/>
            <w:r>
              <w:rPr>
                <w:sz w:val="20"/>
              </w:rPr>
              <w:t>Kika</w:t>
            </w:r>
            <w:proofErr w:type="spellEnd"/>
            <w:r>
              <w:rPr>
                <w:sz w:val="20"/>
              </w:rPr>
              <w:t xml:space="preserve"> total system</w:t>
            </w:r>
            <w:r>
              <w:rPr>
                <w:sz w:val="20"/>
                <w:vertAlign w:val="superscript"/>
              </w:rPr>
              <w:t xml:space="preserve"> (3)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0.82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0.74</w:t>
            </w:r>
          </w:p>
        </w:tc>
      </w:tr>
      <w:tr w:rsidR="00973A84">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rsidR="00973A84" w:rsidRDefault="00516B3C">
            <w:pPr>
              <w:widowControl w:val="0"/>
              <w:spacing w:before="55" w:after="10"/>
            </w:pPr>
            <w:r>
              <w:rPr>
                <w:sz w:val="20"/>
              </w:rPr>
              <w:t>Odyssey total system</w:t>
            </w:r>
            <w:r>
              <w:rPr>
                <w:sz w:val="20"/>
                <w:vertAlign w:val="superscript"/>
              </w:rPr>
              <w:t xml:space="preserve"> (3)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0.89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rsidR="00973A84" w:rsidRDefault="00516B3C">
            <w:pPr>
              <w:jc w:val="right"/>
            </w:pPr>
            <w:r>
              <w:rPr>
                <w:color w:val="000000"/>
                <w:sz w:val="20"/>
              </w:rPr>
              <w:t>0.96</w:t>
            </w:r>
          </w:p>
        </w:tc>
      </w:tr>
      <w:tr w:rsidR="00973A84">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rsidR="00973A84" w:rsidRDefault="00516B3C">
            <w:pPr>
              <w:widowControl w:val="0"/>
              <w:spacing w:before="55" w:after="10"/>
            </w:pPr>
            <w:r>
              <w:rPr>
                <w:sz w:val="20"/>
              </w:rPr>
              <w:t>Lockport total system</w:t>
            </w:r>
            <w:r>
              <w:rPr>
                <w:sz w:val="20"/>
                <w:vertAlign w:val="superscript"/>
              </w:rPr>
              <w:t xml:space="preserve"> (4)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0.21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973A84" w:rsidRDefault="00973A84"/>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rsidR="00973A84" w:rsidRDefault="00516B3C">
            <w:pPr>
              <w:jc w:val="right"/>
            </w:pPr>
            <w:r>
              <w:rPr>
                <w:color w:val="000000"/>
                <w:sz w:val="20"/>
              </w:rPr>
              <w:t>0.20</w:t>
            </w:r>
          </w:p>
        </w:tc>
      </w:tr>
    </w:tbl>
    <w:p w:rsidR="00973A84" w:rsidRDefault="00973A84">
      <w:pPr>
        <w:spacing w:before="120"/>
        <w:ind w:left="540" w:hanging="260"/>
      </w:pPr>
    </w:p>
    <w:p w:rsidR="00973A84" w:rsidRDefault="00516B3C">
      <w:r>
        <w:rPr>
          <w:i/>
          <w:sz w:val="20"/>
          <w:vertAlign w:val="superscript"/>
        </w:rPr>
        <w:t xml:space="preserve">(1) </w:t>
      </w:r>
      <w:r>
        <w:rPr>
          <w:i/>
          <w:sz w:val="20"/>
        </w:rPr>
        <w:t>Pipeline throughput is defined as the volume of delivered barrels.</w:t>
      </w:r>
    </w:p>
    <w:p w:rsidR="00973A84" w:rsidRDefault="00516B3C">
      <w:r>
        <w:rPr>
          <w:i/>
          <w:sz w:val="20"/>
          <w:vertAlign w:val="superscript"/>
        </w:rPr>
        <w:t>(2)</w:t>
      </w:r>
      <w:r>
        <w:rPr>
          <w:i/>
          <w:sz w:val="20"/>
        </w:rPr>
        <w:t xml:space="preserve"> </w:t>
      </w:r>
      <w:proofErr w:type="spellStart"/>
      <w:r>
        <w:rPr>
          <w:i/>
          <w:sz w:val="20"/>
        </w:rPr>
        <w:t>Terminaling</w:t>
      </w:r>
      <w:proofErr w:type="spellEnd"/>
      <w:r>
        <w:rPr>
          <w:i/>
          <w:sz w:val="20"/>
        </w:rPr>
        <w:t xml:space="preserve"> throughput is defined as the volume of delivered barrels and storage is defined as the volume of stored barrels.</w:t>
      </w:r>
    </w:p>
    <w:p w:rsidR="00973A84" w:rsidRDefault="00516B3C">
      <w:pPr>
        <w:ind w:left="180" w:hanging="180"/>
      </w:pPr>
      <w:r>
        <w:rPr>
          <w:i/>
          <w:sz w:val="20"/>
          <w:vertAlign w:val="superscript"/>
        </w:rPr>
        <w:lastRenderedPageBreak/>
        <w:t>(3)</w:t>
      </w:r>
      <w:r>
        <w:rPr>
          <w:i/>
          <w:sz w:val="20"/>
        </w:rPr>
        <w:t xml:space="preserve"> Based on reported revenues from transportation and allowance oil divided by delivered barrels over the same time period. Actual tariffs charged are based on shipping points along the pipeline system, volume and length of contract.</w:t>
      </w:r>
    </w:p>
    <w:p w:rsidR="00973A84" w:rsidRDefault="00516B3C">
      <w:pPr>
        <w:ind w:left="180" w:hanging="180"/>
      </w:pPr>
      <w:r>
        <w:rPr>
          <w:i/>
          <w:sz w:val="20"/>
          <w:vertAlign w:val="superscript"/>
        </w:rPr>
        <w:t>(4)</w:t>
      </w:r>
      <w:r>
        <w:rPr>
          <w:i/>
          <w:sz w:val="20"/>
        </w:rPr>
        <w:t xml:space="preserve"> Based on reported revenues from transportation and storage divided by delivered and stored barrels over the same time period. Actual rates are based on contract volume and length.  </w:t>
      </w:r>
    </w:p>
    <w:p w:rsidR="00973A84" w:rsidRDefault="00516B3C">
      <w:pPr>
        <w:keepNext/>
        <w:ind w:left="180" w:hanging="180"/>
      </w:pPr>
      <w:r>
        <w:rPr>
          <w:i/>
          <w:sz w:val="20"/>
          <w:vertAlign w:val="superscript"/>
        </w:rPr>
        <w:t>(5)</w:t>
      </w:r>
      <w:r>
        <w:rPr>
          <w:sz w:val="20"/>
        </w:rPr>
        <w:t> </w:t>
      </w:r>
      <w:r>
        <w:rPr>
          <w:i/>
          <w:sz w:val="20"/>
        </w:rPr>
        <w:t xml:space="preserve">Refinery Gas Pipeline and our refined products terminals are not included above as they generate revenue under transportation   and </w:t>
      </w:r>
      <w:proofErr w:type="spellStart"/>
      <w:r>
        <w:rPr>
          <w:i/>
          <w:sz w:val="20"/>
        </w:rPr>
        <w:t>terminaling</w:t>
      </w:r>
      <w:proofErr w:type="spellEnd"/>
      <w:r>
        <w:rPr>
          <w:i/>
          <w:sz w:val="20"/>
        </w:rPr>
        <w:t xml:space="preserve"> service agreements, respectively, that provide for guaranteed minimum throughput. </w:t>
      </w:r>
    </w:p>
    <w:p w:rsidR="00973A84" w:rsidRDefault="00973A84"/>
    <w:p w:rsidR="00973A84" w:rsidRDefault="00973A84">
      <w:pPr>
        <w:sectPr w:rsidR="00973A84">
          <w:headerReference w:type="default" r:id="rId10"/>
          <w:footerReference w:type="default" r:id="rId11"/>
          <w:pgSz w:w="12240" w:h="15840"/>
          <w:pgMar w:top="900" w:right="1000" w:bottom="900" w:left="720" w:header="270" w:footer="270" w:gutter="0"/>
          <w:cols w:space="720"/>
        </w:sectPr>
      </w:pPr>
    </w:p>
    <w:p w:rsidR="00973A84" w:rsidRDefault="00516B3C">
      <w:pPr>
        <w:keepNext/>
      </w:pPr>
      <w:bookmarkStart w:id="3" w:name="Section3"/>
      <w:bookmarkEnd w:id="3"/>
      <w:r>
        <w:rPr>
          <w:color w:val="000000"/>
          <w:sz w:val="20"/>
          <w:u w:val="single"/>
        </w:rPr>
        <w:lastRenderedPageBreak/>
        <w:t>FORWARD LOOKING STATEMENTS</w:t>
      </w:r>
    </w:p>
    <w:p w:rsidR="00973A84" w:rsidRDefault="00516B3C">
      <w:pPr>
        <w:spacing w:before="120"/>
      </w:pPr>
      <w:r>
        <w:rPr>
          <w:i/>
          <w:sz w:val="20"/>
        </w:rPr>
        <w:t>This press release includes various “forward-looking statements.”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expressing management’s expectations, beliefs, estimates, forecasts, projections and assumptions. You can identify our forward-looking statements by words such as “anticipate”, “believe”, “estimate”, “expect”, “forecast”, “goals”, “objectives”, “outlook”, “intend”, “plan”, “predict”, “project”, “risks”, “schedule”, “seek”, “target”, “could”, “may”, “should” or “would” or other similar expressions that convey the uncertainty of future events or outcomes. These statements are accompanied by cautionary language identifying important factors, though not necessarily all such factors, which could cause future outcomes to differ materially from those set forth in forward-looking statements. In particular, expressed or implied statements concerning future growth, future actions, closing and funding of acquisitions, future drop downs, volumes, capital requirements, conditions or events, future impact of prior acquisitions, future operating results or the ability to generate sales, income or cash flow or the amount of distributions are forward-looking statements. Forward-looking statements are not guarantees of performance. They involve risks, uncertainties and assumptions. Future actions, conditions or events and future results of operations may differ materially from those expressed in these forward-looking statements. Forward-looking statements speak only as of the date of this press release, November 1, 2018, and we disclaim any obligation to update such statements for any reason, except as required by law. All forward-looking statements contained in this document are expressly qualified in their entirety by the cautionary statements contained or referred to in this paragraph. Many of the factors that will determine these results are beyond our ability to control or predict. These factors include the risk factors described in Part I, Item 1A. “Risk Factors” in our Annual Report on Form 10-K for the year ended December 31, 2017, as updated by the information in our other filings with the SEC. If any of those risks occur, it could cause our actual results to differ materially from those contained in any forward-looking statement. Because of these risks and uncertainties, you should not place undue reliance on any forward-looking statement.</w:t>
      </w:r>
    </w:p>
    <w:p w:rsidR="00973A84" w:rsidRDefault="00973A84"/>
    <w:p w:rsidR="00973A84" w:rsidRDefault="00516B3C">
      <w:pPr>
        <w:keepNext/>
      </w:pPr>
      <w:r>
        <w:rPr>
          <w:color w:val="000000"/>
          <w:sz w:val="20"/>
          <w:u w:val="single"/>
        </w:rPr>
        <w:t>NON-GAAP FINANCIAL MEASURES</w:t>
      </w:r>
    </w:p>
    <w:p w:rsidR="00973A84" w:rsidRDefault="00516B3C">
      <w:pPr>
        <w:spacing w:before="120"/>
      </w:pPr>
      <w:r>
        <w:rPr>
          <w:i/>
          <w:sz w:val="20"/>
        </w:rPr>
        <w:t>This press release includes the terms Adjusted EBITDA and cash available for distribution. We believe that the presentation of Adjusted EBITDA and cash available for distribution provides useful information to investors in assessing our financial condition and results of operations. Adjusted EBITDA and cash available for distribution are non-GAAP supplemental financial measures that management and external users of our condensed consolidated financial statements, such as industry analysts, investors, lenders and rating agencies, may use to assess:</w:t>
      </w:r>
    </w:p>
    <w:p w:rsidR="00973A84" w:rsidRDefault="00516B3C" w:rsidP="005E3386">
      <w:pPr>
        <w:numPr>
          <w:ilvl w:val="0"/>
          <w:numId w:val="6"/>
        </w:numPr>
        <w:spacing w:before="120"/>
        <w:ind w:left="860"/>
      </w:pPr>
      <w:r>
        <w:rPr>
          <w:i/>
          <w:sz w:val="20"/>
        </w:rPr>
        <w:t>our operating performance as compared to other publicly traded partnerships in the midstream energy industry, without regard to historical cost basis or, in the case of Adjusted EBITDA, financing methods;</w:t>
      </w:r>
    </w:p>
    <w:p w:rsidR="00973A84" w:rsidRDefault="00516B3C" w:rsidP="005E3386">
      <w:pPr>
        <w:numPr>
          <w:ilvl w:val="0"/>
          <w:numId w:val="6"/>
        </w:numPr>
        <w:spacing w:before="120"/>
        <w:ind w:left="860"/>
      </w:pPr>
      <w:r>
        <w:rPr>
          <w:i/>
          <w:sz w:val="20"/>
        </w:rPr>
        <w:t>the ability of our business to generate sufficient cash to support our decision to make distributions to our unitholders;</w:t>
      </w:r>
    </w:p>
    <w:p w:rsidR="00973A84" w:rsidRDefault="00516B3C" w:rsidP="005E3386">
      <w:pPr>
        <w:numPr>
          <w:ilvl w:val="0"/>
          <w:numId w:val="6"/>
        </w:numPr>
        <w:spacing w:before="120"/>
        <w:ind w:left="860"/>
      </w:pPr>
      <w:r>
        <w:rPr>
          <w:i/>
          <w:sz w:val="20"/>
        </w:rPr>
        <w:t>our ability to incur and service debt and fund capital expenditures; and</w:t>
      </w:r>
    </w:p>
    <w:p w:rsidR="00973A84" w:rsidRDefault="00516B3C" w:rsidP="005E3386">
      <w:pPr>
        <w:numPr>
          <w:ilvl w:val="0"/>
          <w:numId w:val="6"/>
        </w:numPr>
        <w:spacing w:before="120"/>
        <w:ind w:left="860"/>
      </w:pPr>
      <w:r>
        <w:rPr>
          <w:i/>
          <w:sz w:val="20"/>
        </w:rPr>
        <w:t>the viability of acquisitions and other capital expenditure projects and the returns on investment of various investment opportunities.</w:t>
      </w:r>
    </w:p>
    <w:p w:rsidR="00973A84" w:rsidRDefault="00516B3C">
      <w:pPr>
        <w:spacing w:before="240"/>
      </w:pPr>
      <w:r>
        <w:rPr>
          <w:i/>
          <w:sz w:val="20"/>
        </w:rPr>
        <w:t>The GAAP measures most directly comparable to Adjusted EBITDA and cash available for distribution are net income and net cash provided by operating activities. These non-GAAP measures should not be considered as alternatives to GAAP net income or net cash provided by operating activities. Adjusted EBITDA and cash available for distribution have important limitations as analytical tools because they exclude some but not all items that affect net income and net cash provided by operating activities. They should not be considered in isolation or as substitutes for analysis of our results as reported under GAAP. Additionally, because Adjusted EBITDA and cash available for distribution may be defined differently by other companies in our industry, our definition of Adjusted EBITDA and cash available for distribution may not be comparable to similarly titled measures of other companies, thereby diminishing their utility.</w:t>
      </w:r>
    </w:p>
    <w:p w:rsidR="00973A84" w:rsidRDefault="00516B3C">
      <w:pPr>
        <w:spacing w:before="240"/>
      </w:pPr>
      <w:r>
        <w:rPr>
          <w:i/>
          <w:sz w:val="20"/>
        </w:rPr>
        <w:t xml:space="preserve">References in this press release to Adjusted EBITDA refer to net income before income taxes, net interest expense, gain or loss from disposition of fixed assets, allowance oil reduction to net realizable value, and depreciation, amortization and accretion, </w:t>
      </w:r>
      <w:r>
        <w:rPr>
          <w:i/>
          <w:color w:val="000000"/>
          <w:sz w:val="20"/>
          <w:u w:val="single"/>
        </w:rPr>
        <w:t>plus</w:t>
      </w:r>
      <w:r>
        <w:rPr>
          <w:i/>
          <w:sz w:val="20"/>
        </w:rPr>
        <w:t xml:space="preserve"> cash distributed to Shell Midstream Partners, L.P. from equity method investments for the applicable period, </w:t>
      </w:r>
      <w:r>
        <w:rPr>
          <w:i/>
          <w:color w:val="000000"/>
          <w:sz w:val="20"/>
          <w:u w:val="single"/>
        </w:rPr>
        <w:t>less</w:t>
      </w:r>
      <w:r>
        <w:rPr>
          <w:i/>
          <w:sz w:val="20"/>
        </w:rPr>
        <w:t xml:space="preserve"> equity method distributions included in other income and income from equity method investments. We define Adjusted EBITDA attributable to Shell Midstream Partners, L.P. as Adjusted EBITDA </w:t>
      </w:r>
      <w:r>
        <w:rPr>
          <w:i/>
          <w:color w:val="000000"/>
          <w:sz w:val="20"/>
          <w:u w:val="single"/>
        </w:rPr>
        <w:t>less</w:t>
      </w:r>
      <w:r>
        <w:rPr>
          <w:i/>
          <w:sz w:val="20"/>
        </w:rPr>
        <w:t xml:space="preserve"> Adjusted EBITDA attributable to noncontrolling interests and Adjusted EBITDA attributable to Parent. References to cash available for distribution refer to Adjusted EBITDA attributable to Shell Midstream Partners, L.P., </w:t>
      </w:r>
      <w:r>
        <w:rPr>
          <w:i/>
          <w:color w:val="000000"/>
          <w:sz w:val="20"/>
          <w:u w:val="single"/>
        </w:rPr>
        <w:t>less</w:t>
      </w:r>
      <w:r>
        <w:rPr>
          <w:i/>
          <w:sz w:val="20"/>
        </w:rPr>
        <w:t xml:space="preserve"> maintenance capital expenditures attributable to Shell Midstream Partners, L.P., net interest paid, cash reserves and income taxes paid, </w:t>
      </w:r>
      <w:r>
        <w:rPr>
          <w:i/>
          <w:color w:val="000000"/>
          <w:sz w:val="20"/>
          <w:u w:val="single"/>
        </w:rPr>
        <w:t>plus</w:t>
      </w:r>
      <w:r>
        <w:rPr>
          <w:i/>
          <w:sz w:val="20"/>
        </w:rPr>
        <w:t xml:space="preserve"> net adjustments from volume deficiency payments attributable to Shell Midstream Partners, L.P., reimbursements from Parent included in partners' capital and certain one-time payments not reflected in net income. Cash available for distribution will not reflect changes in working capital balances.</w:t>
      </w:r>
    </w:p>
    <w:p w:rsidR="00973A84" w:rsidRDefault="00516B3C">
      <w:pPr>
        <w:spacing w:before="240"/>
      </w:pPr>
      <w:r>
        <w:rPr>
          <w:sz w:val="16"/>
        </w:rPr>
        <w:t>November 1, 2018</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73A84">
        <w:trPr>
          <w:trHeight w:hRule="exact" w:val="345"/>
        </w:trPr>
        <w:tc>
          <w:tcPr>
            <w:tcW w:w="10800" w:type="dxa"/>
            <w:tcBorders>
              <w:top w:val="single" w:sz="16" w:space="0" w:color="000000"/>
              <w:left w:val="nil"/>
              <w:bottom w:val="single" w:sz="16" w:space="0" w:color="000000"/>
              <w:right w:val="nil"/>
            </w:tcBorders>
            <w:shd w:val="clear" w:color="auto" w:fill="auto"/>
            <w:tcMar>
              <w:top w:w="0" w:type="dxa"/>
              <w:left w:w="53" w:type="dxa"/>
              <w:bottom w:w="0" w:type="dxa"/>
              <w:right w:w="53" w:type="dxa"/>
            </w:tcMar>
            <w:vAlign w:val="bottom"/>
          </w:tcPr>
          <w:p w:rsidR="00973A84" w:rsidRDefault="00516B3C">
            <w:pPr>
              <w:spacing w:before="55" w:after="10"/>
            </w:pPr>
            <w:r>
              <w:rPr>
                <w:sz w:val="18"/>
              </w:rPr>
              <w:t xml:space="preserve">The information in this Report reflects the unaudited condensed consolidated financial position and results of Shell Midstream Partners, L.P.  </w:t>
            </w:r>
          </w:p>
        </w:tc>
      </w:tr>
    </w:tbl>
    <w:p w:rsidR="00973A84" w:rsidRDefault="00973A84">
      <w:pPr>
        <w:spacing w:before="120"/>
      </w:pPr>
    </w:p>
    <w:p w:rsidR="00973A84" w:rsidRDefault="00973A84"/>
    <w:p w:rsidR="00973A84" w:rsidRDefault="00516B3C">
      <w:pPr>
        <w:ind w:right="340"/>
      </w:pPr>
      <w:r>
        <w:rPr>
          <w:sz w:val="18"/>
        </w:rPr>
        <w:t xml:space="preserve">Inquiries: </w:t>
      </w:r>
    </w:p>
    <w:p w:rsidR="00973A84" w:rsidRDefault="00516B3C">
      <w:pPr>
        <w:ind w:right="340"/>
      </w:pPr>
      <w:r>
        <w:rPr>
          <w:sz w:val="18"/>
        </w:rPr>
        <w:t>Shell Media Relations</w:t>
      </w:r>
    </w:p>
    <w:p w:rsidR="00973A84" w:rsidRDefault="00516B3C">
      <w:pPr>
        <w:ind w:right="340"/>
      </w:pPr>
      <w:r>
        <w:rPr>
          <w:sz w:val="18"/>
        </w:rPr>
        <w:t>Americas: +1 832 337 4355</w:t>
      </w:r>
    </w:p>
    <w:p w:rsidR="00973A84" w:rsidRDefault="00516B3C">
      <w:pPr>
        <w:spacing w:before="240"/>
        <w:ind w:right="340"/>
      </w:pPr>
      <w:r>
        <w:rPr>
          <w:sz w:val="18"/>
        </w:rPr>
        <w:t>Shell Investor Relations</w:t>
      </w:r>
    </w:p>
    <w:p w:rsidR="00973A84" w:rsidRDefault="00516B3C">
      <w:pPr>
        <w:ind w:right="340"/>
      </w:pPr>
      <w:r>
        <w:rPr>
          <w:sz w:val="18"/>
        </w:rPr>
        <w:t>North America: +1 832 337 2034</w:t>
      </w:r>
    </w:p>
    <w:sectPr w:rsidR="00973A84">
      <w:headerReference w:type="default" r:id="rId12"/>
      <w:footerReference w:type="default" r:id="rId13"/>
      <w:pgSz w:w="12240" w:h="15840"/>
      <w:pgMar w:top="580" w:right="720" w:bottom="580" w:left="720" w:header="27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512" w:rsidRDefault="00753512">
      <w:r>
        <w:separator/>
      </w:r>
    </w:p>
  </w:endnote>
  <w:endnote w:type="continuationSeparator" w:id="0">
    <w:p w:rsidR="00753512" w:rsidRDefault="0075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84" w:rsidRDefault="00973A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84" w:rsidRDefault="00973A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84" w:rsidRDefault="00973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512" w:rsidRDefault="00753512">
      <w:r>
        <w:separator/>
      </w:r>
    </w:p>
  </w:footnote>
  <w:footnote w:type="continuationSeparator" w:id="0">
    <w:p w:rsidR="00753512" w:rsidRDefault="0075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84" w:rsidRDefault="00973A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84" w:rsidRDefault="00973A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84" w:rsidRDefault="00973A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C840F30A">
      <w:start w:val="1"/>
      <w:numFmt w:val="bullet"/>
      <w:lvlText w:val="•"/>
      <w:lvlJc w:val="left"/>
      <w:pPr>
        <w:tabs>
          <w:tab w:val="num" w:pos="360"/>
        </w:tabs>
        <w:ind w:left="720" w:hanging="360"/>
      </w:pPr>
      <w:rPr>
        <w:rFonts w:ascii="Times New Roman" w:eastAsia="Times New Roman" w:hAnsi="Times New Roman" w:cs="Times New Roman"/>
        <w:color w:val="000000"/>
        <w:sz w:val="20"/>
      </w:rPr>
    </w:lvl>
    <w:lvl w:ilvl="1" w:tplc="7A4416E0">
      <w:start w:val="1"/>
      <w:numFmt w:val="bullet"/>
      <w:lvlText w:val="o"/>
      <w:lvlJc w:val="left"/>
      <w:pPr>
        <w:tabs>
          <w:tab w:val="num" w:pos="1440"/>
        </w:tabs>
        <w:ind w:left="1440" w:hanging="360"/>
      </w:pPr>
      <w:rPr>
        <w:rFonts w:ascii="Courier New" w:hAnsi="Courier New"/>
      </w:rPr>
    </w:lvl>
    <w:lvl w:ilvl="2" w:tplc="183E8882">
      <w:start w:val="1"/>
      <w:numFmt w:val="bullet"/>
      <w:lvlText w:val=""/>
      <w:lvlJc w:val="left"/>
      <w:pPr>
        <w:tabs>
          <w:tab w:val="num" w:pos="2160"/>
        </w:tabs>
        <w:ind w:left="2160" w:hanging="360"/>
      </w:pPr>
      <w:rPr>
        <w:rFonts w:ascii="Wingdings" w:hAnsi="Wingdings"/>
      </w:rPr>
    </w:lvl>
    <w:lvl w:ilvl="3" w:tplc="78F257CE">
      <w:start w:val="1"/>
      <w:numFmt w:val="bullet"/>
      <w:lvlText w:val=""/>
      <w:lvlJc w:val="left"/>
      <w:pPr>
        <w:tabs>
          <w:tab w:val="num" w:pos="2880"/>
        </w:tabs>
        <w:ind w:left="2880" w:hanging="360"/>
      </w:pPr>
      <w:rPr>
        <w:rFonts w:ascii="Symbol" w:hAnsi="Symbol"/>
      </w:rPr>
    </w:lvl>
    <w:lvl w:ilvl="4" w:tplc="F9ACC8E2">
      <w:start w:val="1"/>
      <w:numFmt w:val="bullet"/>
      <w:lvlText w:val="o"/>
      <w:lvlJc w:val="left"/>
      <w:pPr>
        <w:tabs>
          <w:tab w:val="num" w:pos="3600"/>
        </w:tabs>
        <w:ind w:left="3600" w:hanging="360"/>
      </w:pPr>
      <w:rPr>
        <w:rFonts w:ascii="Courier New" w:hAnsi="Courier New"/>
      </w:rPr>
    </w:lvl>
    <w:lvl w:ilvl="5" w:tplc="FBE4E8D2">
      <w:start w:val="1"/>
      <w:numFmt w:val="bullet"/>
      <w:lvlText w:val=""/>
      <w:lvlJc w:val="left"/>
      <w:pPr>
        <w:tabs>
          <w:tab w:val="num" w:pos="4320"/>
        </w:tabs>
        <w:ind w:left="4320" w:hanging="360"/>
      </w:pPr>
      <w:rPr>
        <w:rFonts w:ascii="Wingdings" w:hAnsi="Wingdings"/>
      </w:rPr>
    </w:lvl>
    <w:lvl w:ilvl="6" w:tplc="46E40C7A">
      <w:start w:val="1"/>
      <w:numFmt w:val="bullet"/>
      <w:lvlText w:val=""/>
      <w:lvlJc w:val="left"/>
      <w:pPr>
        <w:tabs>
          <w:tab w:val="num" w:pos="5040"/>
        </w:tabs>
        <w:ind w:left="5040" w:hanging="360"/>
      </w:pPr>
      <w:rPr>
        <w:rFonts w:ascii="Symbol" w:hAnsi="Symbol"/>
      </w:rPr>
    </w:lvl>
    <w:lvl w:ilvl="7" w:tplc="E00236EA">
      <w:start w:val="1"/>
      <w:numFmt w:val="bullet"/>
      <w:lvlText w:val="o"/>
      <w:lvlJc w:val="left"/>
      <w:pPr>
        <w:tabs>
          <w:tab w:val="num" w:pos="5760"/>
        </w:tabs>
        <w:ind w:left="5760" w:hanging="360"/>
      </w:pPr>
      <w:rPr>
        <w:rFonts w:ascii="Courier New" w:hAnsi="Courier New"/>
      </w:rPr>
    </w:lvl>
    <w:lvl w:ilvl="8" w:tplc="F906E01A">
      <w:start w:val="1"/>
      <w:numFmt w:val="bullet"/>
      <w:lvlText w:val=""/>
      <w:lvlJc w:val="left"/>
      <w:pPr>
        <w:tabs>
          <w:tab w:val="num" w:pos="6480"/>
        </w:tabs>
        <w:ind w:left="6480" w:hanging="360"/>
      </w:pPr>
      <w:rPr>
        <w:rFonts w:ascii="Wingdings" w:hAnsi="Wingdings"/>
      </w:rPr>
    </w:lvl>
  </w:abstractNum>
  <w:abstractNum w:abstractNumId="1" w15:restartNumberingAfterBreak="0">
    <w:nsid w:val="00000019"/>
    <w:multiLevelType w:val="hybridMultilevel"/>
    <w:tmpl w:val="00000019"/>
    <w:lvl w:ilvl="0" w:tplc="E7AC44C6">
      <w:start w:val="1"/>
      <w:numFmt w:val="bullet"/>
      <w:lvlText w:val=""/>
      <w:lvlJc w:val="left"/>
      <w:pPr>
        <w:tabs>
          <w:tab w:val="num" w:pos="720"/>
        </w:tabs>
        <w:ind w:left="720" w:hanging="360"/>
      </w:pPr>
      <w:rPr>
        <w:rFonts w:ascii="Symbol" w:hAnsi="Symbol"/>
      </w:rPr>
    </w:lvl>
    <w:lvl w:ilvl="1" w:tplc="F29AB902">
      <w:start w:val="1"/>
      <w:numFmt w:val="bullet"/>
      <w:lvlText w:val="•"/>
      <w:lvlJc w:val="left"/>
      <w:pPr>
        <w:tabs>
          <w:tab w:val="num" w:pos="1080"/>
        </w:tabs>
        <w:ind w:left="1440" w:hanging="360"/>
      </w:pPr>
      <w:rPr>
        <w:rFonts w:ascii="Times New Roman" w:eastAsia="Times New Roman" w:hAnsi="Times New Roman" w:cs="Times New Roman"/>
        <w:color w:val="000000"/>
        <w:sz w:val="20"/>
      </w:rPr>
    </w:lvl>
    <w:lvl w:ilvl="2" w:tplc="1BD045C2">
      <w:start w:val="1"/>
      <w:numFmt w:val="bullet"/>
      <w:lvlText w:val=""/>
      <w:lvlJc w:val="left"/>
      <w:pPr>
        <w:tabs>
          <w:tab w:val="num" w:pos="2160"/>
        </w:tabs>
        <w:ind w:left="2160" w:hanging="360"/>
      </w:pPr>
      <w:rPr>
        <w:rFonts w:ascii="Wingdings" w:hAnsi="Wingdings"/>
      </w:rPr>
    </w:lvl>
    <w:lvl w:ilvl="3" w:tplc="7472B816">
      <w:start w:val="1"/>
      <w:numFmt w:val="bullet"/>
      <w:lvlText w:val=""/>
      <w:lvlJc w:val="left"/>
      <w:pPr>
        <w:tabs>
          <w:tab w:val="num" w:pos="2880"/>
        </w:tabs>
        <w:ind w:left="2880" w:hanging="360"/>
      </w:pPr>
      <w:rPr>
        <w:rFonts w:ascii="Symbol" w:hAnsi="Symbol"/>
      </w:rPr>
    </w:lvl>
    <w:lvl w:ilvl="4" w:tplc="CFA69BB6">
      <w:start w:val="1"/>
      <w:numFmt w:val="bullet"/>
      <w:lvlText w:val="o"/>
      <w:lvlJc w:val="left"/>
      <w:pPr>
        <w:tabs>
          <w:tab w:val="num" w:pos="3600"/>
        </w:tabs>
        <w:ind w:left="3600" w:hanging="360"/>
      </w:pPr>
      <w:rPr>
        <w:rFonts w:ascii="Courier New" w:hAnsi="Courier New"/>
      </w:rPr>
    </w:lvl>
    <w:lvl w:ilvl="5" w:tplc="01AC8B9E">
      <w:start w:val="1"/>
      <w:numFmt w:val="bullet"/>
      <w:lvlText w:val=""/>
      <w:lvlJc w:val="left"/>
      <w:pPr>
        <w:tabs>
          <w:tab w:val="num" w:pos="4320"/>
        </w:tabs>
        <w:ind w:left="4320" w:hanging="360"/>
      </w:pPr>
      <w:rPr>
        <w:rFonts w:ascii="Wingdings" w:hAnsi="Wingdings"/>
      </w:rPr>
    </w:lvl>
    <w:lvl w:ilvl="6" w:tplc="B30C4EA6">
      <w:start w:val="1"/>
      <w:numFmt w:val="bullet"/>
      <w:lvlText w:val=""/>
      <w:lvlJc w:val="left"/>
      <w:pPr>
        <w:tabs>
          <w:tab w:val="num" w:pos="5040"/>
        </w:tabs>
        <w:ind w:left="5040" w:hanging="360"/>
      </w:pPr>
      <w:rPr>
        <w:rFonts w:ascii="Symbol" w:hAnsi="Symbol"/>
      </w:rPr>
    </w:lvl>
    <w:lvl w:ilvl="7" w:tplc="99A01FD6">
      <w:start w:val="1"/>
      <w:numFmt w:val="bullet"/>
      <w:lvlText w:val="o"/>
      <w:lvlJc w:val="left"/>
      <w:pPr>
        <w:tabs>
          <w:tab w:val="num" w:pos="5760"/>
        </w:tabs>
        <w:ind w:left="5760" w:hanging="360"/>
      </w:pPr>
      <w:rPr>
        <w:rFonts w:ascii="Courier New" w:hAnsi="Courier New"/>
      </w:rPr>
    </w:lvl>
    <w:lvl w:ilvl="8" w:tplc="957AEE6E">
      <w:start w:val="1"/>
      <w:numFmt w:val="bullet"/>
      <w:lvlText w:val=""/>
      <w:lvlJc w:val="left"/>
      <w:pPr>
        <w:tabs>
          <w:tab w:val="num" w:pos="6480"/>
        </w:tabs>
        <w:ind w:left="6480" w:hanging="360"/>
      </w:pPr>
      <w:rPr>
        <w:rFonts w:ascii="Wingdings" w:hAnsi="Wingdings"/>
      </w:rPr>
    </w:lvl>
  </w:abstractNum>
  <w:abstractNum w:abstractNumId="2" w15:restartNumberingAfterBreak="0">
    <w:nsid w:val="0000001A"/>
    <w:multiLevelType w:val="hybridMultilevel"/>
    <w:tmpl w:val="0000001A"/>
    <w:lvl w:ilvl="0" w:tplc="6FD4A364">
      <w:start w:val="1"/>
      <w:numFmt w:val="bullet"/>
      <w:lvlText w:val=""/>
      <w:lvlJc w:val="left"/>
      <w:pPr>
        <w:tabs>
          <w:tab w:val="num" w:pos="720"/>
        </w:tabs>
        <w:ind w:left="720" w:hanging="360"/>
      </w:pPr>
      <w:rPr>
        <w:rFonts w:ascii="Symbol" w:hAnsi="Symbol"/>
      </w:rPr>
    </w:lvl>
    <w:lvl w:ilvl="1" w:tplc="B7A846C8">
      <w:start w:val="1"/>
      <w:numFmt w:val="bullet"/>
      <w:lvlText w:val="•"/>
      <w:lvlJc w:val="left"/>
      <w:pPr>
        <w:tabs>
          <w:tab w:val="num" w:pos="1080"/>
        </w:tabs>
        <w:ind w:left="1440" w:hanging="360"/>
      </w:pPr>
      <w:rPr>
        <w:rFonts w:ascii="Times New Roman" w:eastAsia="Times New Roman" w:hAnsi="Times New Roman" w:cs="Times New Roman"/>
        <w:color w:val="000000"/>
        <w:sz w:val="20"/>
      </w:rPr>
    </w:lvl>
    <w:lvl w:ilvl="2" w:tplc="FC142220">
      <w:start w:val="1"/>
      <w:numFmt w:val="bullet"/>
      <w:lvlText w:val=""/>
      <w:lvlJc w:val="left"/>
      <w:pPr>
        <w:tabs>
          <w:tab w:val="num" w:pos="2160"/>
        </w:tabs>
        <w:ind w:left="2160" w:hanging="360"/>
      </w:pPr>
      <w:rPr>
        <w:rFonts w:ascii="Wingdings" w:hAnsi="Wingdings"/>
      </w:rPr>
    </w:lvl>
    <w:lvl w:ilvl="3" w:tplc="90D6F526">
      <w:start w:val="1"/>
      <w:numFmt w:val="bullet"/>
      <w:lvlText w:val=""/>
      <w:lvlJc w:val="left"/>
      <w:pPr>
        <w:tabs>
          <w:tab w:val="num" w:pos="2880"/>
        </w:tabs>
        <w:ind w:left="2880" w:hanging="360"/>
      </w:pPr>
      <w:rPr>
        <w:rFonts w:ascii="Symbol" w:hAnsi="Symbol"/>
      </w:rPr>
    </w:lvl>
    <w:lvl w:ilvl="4" w:tplc="7E529790">
      <w:start w:val="1"/>
      <w:numFmt w:val="bullet"/>
      <w:lvlText w:val="o"/>
      <w:lvlJc w:val="left"/>
      <w:pPr>
        <w:tabs>
          <w:tab w:val="num" w:pos="3600"/>
        </w:tabs>
        <w:ind w:left="3600" w:hanging="360"/>
      </w:pPr>
      <w:rPr>
        <w:rFonts w:ascii="Courier New" w:hAnsi="Courier New"/>
      </w:rPr>
    </w:lvl>
    <w:lvl w:ilvl="5" w:tplc="D4A0809C">
      <w:start w:val="1"/>
      <w:numFmt w:val="bullet"/>
      <w:lvlText w:val=""/>
      <w:lvlJc w:val="left"/>
      <w:pPr>
        <w:tabs>
          <w:tab w:val="num" w:pos="4320"/>
        </w:tabs>
        <w:ind w:left="4320" w:hanging="360"/>
      </w:pPr>
      <w:rPr>
        <w:rFonts w:ascii="Wingdings" w:hAnsi="Wingdings"/>
      </w:rPr>
    </w:lvl>
    <w:lvl w:ilvl="6" w:tplc="7CCAD518">
      <w:start w:val="1"/>
      <w:numFmt w:val="bullet"/>
      <w:lvlText w:val=""/>
      <w:lvlJc w:val="left"/>
      <w:pPr>
        <w:tabs>
          <w:tab w:val="num" w:pos="5040"/>
        </w:tabs>
        <w:ind w:left="5040" w:hanging="360"/>
      </w:pPr>
      <w:rPr>
        <w:rFonts w:ascii="Symbol" w:hAnsi="Symbol"/>
      </w:rPr>
    </w:lvl>
    <w:lvl w:ilvl="7" w:tplc="8B803150">
      <w:start w:val="1"/>
      <w:numFmt w:val="bullet"/>
      <w:lvlText w:val="o"/>
      <w:lvlJc w:val="left"/>
      <w:pPr>
        <w:tabs>
          <w:tab w:val="num" w:pos="5760"/>
        </w:tabs>
        <w:ind w:left="5760" w:hanging="360"/>
      </w:pPr>
      <w:rPr>
        <w:rFonts w:ascii="Courier New" w:hAnsi="Courier New"/>
      </w:rPr>
    </w:lvl>
    <w:lvl w:ilvl="8" w:tplc="2182DF36">
      <w:start w:val="1"/>
      <w:numFmt w:val="bullet"/>
      <w:lvlText w:val=""/>
      <w:lvlJc w:val="left"/>
      <w:pPr>
        <w:tabs>
          <w:tab w:val="num" w:pos="6480"/>
        </w:tabs>
        <w:ind w:left="6480" w:hanging="360"/>
      </w:pPr>
      <w:rPr>
        <w:rFonts w:ascii="Wingdings" w:hAnsi="Wingdings"/>
      </w:rPr>
    </w:lvl>
  </w:abstractNum>
  <w:abstractNum w:abstractNumId="3" w15:restartNumberingAfterBreak="0">
    <w:nsid w:val="00000035"/>
    <w:multiLevelType w:val="hybridMultilevel"/>
    <w:tmpl w:val="00000035"/>
    <w:lvl w:ilvl="0" w:tplc="E28492DA">
      <w:start w:val="1"/>
      <w:numFmt w:val="bullet"/>
      <w:lvlText w:val=""/>
      <w:lvlJc w:val="left"/>
      <w:pPr>
        <w:tabs>
          <w:tab w:val="num" w:pos="720"/>
        </w:tabs>
        <w:ind w:left="720" w:hanging="360"/>
      </w:pPr>
      <w:rPr>
        <w:rFonts w:ascii="Symbol" w:hAnsi="Symbol"/>
      </w:rPr>
    </w:lvl>
    <w:lvl w:ilvl="1" w:tplc="2904CA0E">
      <w:start w:val="1"/>
      <w:numFmt w:val="bullet"/>
      <w:lvlText w:val="•"/>
      <w:lvlJc w:val="left"/>
      <w:pPr>
        <w:tabs>
          <w:tab w:val="num" w:pos="1080"/>
        </w:tabs>
        <w:ind w:left="1440" w:hanging="360"/>
      </w:pPr>
      <w:rPr>
        <w:rFonts w:ascii="Times New Roman" w:eastAsia="Times New Roman" w:hAnsi="Times New Roman" w:cs="Times New Roman"/>
        <w:color w:val="000000"/>
        <w:sz w:val="20"/>
      </w:rPr>
    </w:lvl>
    <w:lvl w:ilvl="2" w:tplc="2580F6C0">
      <w:start w:val="1"/>
      <w:numFmt w:val="bullet"/>
      <w:lvlText w:val=""/>
      <w:lvlJc w:val="left"/>
      <w:pPr>
        <w:tabs>
          <w:tab w:val="num" w:pos="2160"/>
        </w:tabs>
        <w:ind w:left="2160" w:hanging="360"/>
      </w:pPr>
      <w:rPr>
        <w:rFonts w:ascii="Wingdings" w:hAnsi="Wingdings"/>
      </w:rPr>
    </w:lvl>
    <w:lvl w:ilvl="3" w:tplc="E002483A">
      <w:start w:val="1"/>
      <w:numFmt w:val="bullet"/>
      <w:lvlText w:val=""/>
      <w:lvlJc w:val="left"/>
      <w:pPr>
        <w:tabs>
          <w:tab w:val="num" w:pos="2880"/>
        </w:tabs>
        <w:ind w:left="2880" w:hanging="360"/>
      </w:pPr>
      <w:rPr>
        <w:rFonts w:ascii="Symbol" w:hAnsi="Symbol"/>
      </w:rPr>
    </w:lvl>
    <w:lvl w:ilvl="4" w:tplc="4BD204D6">
      <w:start w:val="1"/>
      <w:numFmt w:val="bullet"/>
      <w:lvlText w:val="o"/>
      <w:lvlJc w:val="left"/>
      <w:pPr>
        <w:tabs>
          <w:tab w:val="num" w:pos="3600"/>
        </w:tabs>
        <w:ind w:left="3600" w:hanging="360"/>
      </w:pPr>
      <w:rPr>
        <w:rFonts w:ascii="Courier New" w:hAnsi="Courier New"/>
      </w:rPr>
    </w:lvl>
    <w:lvl w:ilvl="5" w:tplc="DD1E4CD0">
      <w:start w:val="1"/>
      <w:numFmt w:val="bullet"/>
      <w:lvlText w:val=""/>
      <w:lvlJc w:val="left"/>
      <w:pPr>
        <w:tabs>
          <w:tab w:val="num" w:pos="4320"/>
        </w:tabs>
        <w:ind w:left="4320" w:hanging="360"/>
      </w:pPr>
      <w:rPr>
        <w:rFonts w:ascii="Wingdings" w:hAnsi="Wingdings"/>
      </w:rPr>
    </w:lvl>
    <w:lvl w:ilvl="6" w:tplc="3D044A08">
      <w:start w:val="1"/>
      <w:numFmt w:val="bullet"/>
      <w:lvlText w:val=""/>
      <w:lvlJc w:val="left"/>
      <w:pPr>
        <w:tabs>
          <w:tab w:val="num" w:pos="5040"/>
        </w:tabs>
        <w:ind w:left="5040" w:hanging="360"/>
      </w:pPr>
      <w:rPr>
        <w:rFonts w:ascii="Symbol" w:hAnsi="Symbol"/>
      </w:rPr>
    </w:lvl>
    <w:lvl w:ilvl="7" w:tplc="92A69142">
      <w:start w:val="1"/>
      <w:numFmt w:val="bullet"/>
      <w:lvlText w:val="o"/>
      <w:lvlJc w:val="left"/>
      <w:pPr>
        <w:tabs>
          <w:tab w:val="num" w:pos="5760"/>
        </w:tabs>
        <w:ind w:left="5760" w:hanging="360"/>
      </w:pPr>
      <w:rPr>
        <w:rFonts w:ascii="Courier New" w:hAnsi="Courier New"/>
      </w:rPr>
    </w:lvl>
    <w:lvl w:ilvl="8" w:tplc="FC8E58E4">
      <w:start w:val="1"/>
      <w:numFmt w:val="bullet"/>
      <w:lvlText w:val=""/>
      <w:lvlJc w:val="left"/>
      <w:pPr>
        <w:tabs>
          <w:tab w:val="num" w:pos="6480"/>
        </w:tabs>
        <w:ind w:left="6480" w:hanging="360"/>
      </w:pPr>
      <w:rPr>
        <w:rFonts w:ascii="Wingdings" w:hAnsi="Wingdings"/>
      </w:rPr>
    </w:lvl>
  </w:abstractNum>
  <w:abstractNum w:abstractNumId="4" w15:restartNumberingAfterBreak="0">
    <w:nsid w:val="00000054"/>
    <w:multiLevelType w:val="hybridMultilevel"/>
    <w:tmpl w:val="00000054"/>
    <w:lvl w:ilvl="0" w:tplc="448C0238">
      <w:start w:val="1"/>
      <w:numFmt w:val="bullet"/>
      <w:lvlText w:val=""/>
      <w:lvlJc w:val="left"/>
      <w:pPr>
        <w:tabs>
          <w:tab w:val="num" w:pos="720"/>
        </w:tabs>
        <w:ind w:left="720" w:hanging="360"/>
      </w:pPr>
      <w:rPr>
        <w:rFonts w:ascii="Symbol" w:hAnsi="Symbol"/>
      </w:rPr>
    </w:lvl>
    <w:lvl w:ilvl="1" w:tplc="92F2BBF8">
      <w:start w:val="1"/>
      <w:numFmt w:val="bullet"/>
      <w:lvlText w:val="•"/>
      <w:lvlJc w:val="left"/>
      <w:pPr>
        <w:tabs>
          <w:tab w:val="num" w:pos="1080"/>
        </w:tabs>
        <w:ind w:left="1440" w:hanging="360"/>
      </w:pPr>
      <w:rPr>
        <w:rFonts w:ascii="Times New Roman" w:eastAsia="Times New Roman" w:hAnsi="Times New Roman" w:cs="Times New Roman"/>
        <w:color w:val="000000"/>
        <w:sz w:val="20"/>
      </w:rPr>
    </w:lvl>
    <w:lvl w:ilvl="2" w:tplc="9398975E">
      <w:start w:val="1"/>
      <w:numFmt w:val="bullet"/>
      <w:lvlText w:val=""/>
      <w:lvlJc w:val="left"/>
      <w:pPr>
        <w:tabs>
          <w:tab w:val="num" w:pos="2160"/>
        </w:tabs>
        <w:ind w:left="2160" w:hanging="360"/>
      </w:pPr>
      <w:rPr>
        <w:rFonts w:ascii="Wingdings" w:hAnsi="Wingdings"/>
      </w:rPr>
    </w:lvl>
    <w:lvl w:ilvl="3" w:tplc="9A5C2116">
      <w:start w:val="1"/>
      <w:numFmt w:val="bullet"/>
      <w:lvlText w:val=""/>
      <w:lvlJc w:val="left"/>
      <w:pPr>
        <w:tabs>
          <w:tab w:val="num" w:pos="2880"/>
        </w:tabs>
        <w:ind w:left="2880" w:hanging="360"/>
      </w:pPr>
      <w:rPr>
        <w:rFonts w:ascii="Symbol" w:hAnsi="Symbol"/>
      </w:rPr>
    </w:lvl>
    <w:lvl w:ilvl="4" w:tplc="AD5875C2">
      <w:start w:val="1"/>
      <w:numFmt w:val="bullet"/>
      <w:lvlText w:val="o"/>
      <w:lvlJc w:val="left"/>
      <w:pPr>
        <w:tabs>
          <w:tab w:val="num" w:pos="3600"/>
        </w:tabs>
        <w:ind w:left="3600" w:hanging="360"/>
      </w:pPr>
      <w:rPr>
        <w:rFonts w:ascii="Courier New" w:hAnsi="Courier New"/>
      </w:rPr>
    </w:lvl>
    <w:lvl w:ilvl="5" w:tplc="1F24024E">
      <w:start w:val="1"/>
      <w:numFmt w:val="bullet"/>
      <w:lvlText w:val=""/>
      <w:lvlJc w:val="left"/>
      <w:pPr>
        <w:tabs>
          <w:tab w:val="num" w:pos="4320"/>
        </w:tabs>
        <w:ind w:left="4320" w:hanging="360"/>
      </w:pPr>
      <w:rPr>
        <w:rFonts w:ascii="Wingdings" w:hAnsi="Wingdings"/>
      </w:rPr>
    </w:lvl>
    <w:lvl w:ilvl="6" w:tplc="A626813C">
      <w:start w:val="1"/>
      <w:numFmt w:val="bullet"/>
      <w:lvlText w:val=""/>
      <w:lvlJc w:val="left"/>
      <w:pPr>
        <w:tabs>
          <w:tab w:val="num" w:pos="5040"/>
        </w:tabs>
        <w:ind w:left="5040" w:hanging="360"/>
      </w:pPr>
      <w:rPr>
        <w:rFonts w:ascii="Symbol" w:hAnsi="Symbol"/>
      </w:rPr>
    </w:lvl>
    <w:lvl w:ilvl="7" w:tplc="77C060D2">
      <w:start w:val="1"/>
      <w:numFmt w:val="bullet"/>
      <w:lvlText w:val="o"/>
      <w:lvlJc w:val="left"/>
      <w:pPr>
        <w:tabs>
          <w:tab w:val="num" w:pos="5760"/>
        </w:tabs>
        <w:ind w:left="5760" w:hanging="360"/>
      </w:pPr>
      <w:rPr>
        <w:rFonts w:ascii="Courier New" w:hAnsi="Courier New"/>
      </w:rPr>
    </w:lvl>
    <w:lvl w:ilvl="8" w:tplc="C358C34C">
      <w:start w:val="1"/>
      <w:numFmt w:val="bullet"/>
      <w:lvlText w:val=""/>
      <w:lvlJc w:val="left"/>
      <w:pPr>
        <w:tabs>
          <w:tab w:val="num" w:pos="6480"/>
        </w:tabs>
        <w:ind w:left="6480" w:hanging="360"/>
      </w:pPr>
      <w:rPr>
        <w:rFonts w:ascii="Wingdings" w:hAnsi="Wingdings"/>
      </w:rPr>
    </w:lvl>
  </w:abstractNum>
  <w:abstractNum w:abstractNumId="5" w15:restartNumberingAfterBreak="0">
    <w:nsid w:val="00000055"/>
    <w:multiLevelType w:val="hybridMultilevel"/>
    <w:tmpl w:val="00000055"/>
    <w:lvl w:ilvl="0" w:tplc="78C0F37C">
      <w:start w:val="1"/>
      <w:numFmt w:val="bullet"/>
      <w:lvlText w:val="•"/>
      <w:lvlJc w:val="left"/>
      <w:pPr>
        <w:tabs>
          <w:tab w:val="num" w:pos="860"/>
        </w:tabs>
        <w:ind w:left="720" w:hanging="360"/>
      </w:pPr>
      <w:rPr>
        <w:rFonts w:ascii="Times New Roman" w:eastAsia="Times New Roman" w:hAnsi="Times New Roman" w:cs="Times New Roman"/>
        <w:color w:val="000000"/>
        <w:sz w:val="20"/>
      </w:rPr>
    </w:lvl>
    <w:lvl w:ilvl="1" w:tplc="7696E0A8">
      <w:start w:val="1"/>
      <w:numFmt w:val="bullet"/>
      <w:lvlText w:val="o"/>
      <w:lvlJc w:val="left"/>
      <w:pPr>
        <w:tabs>
          <w:tab w:val="num" w:pos="1440"/>
        </w:tabs>
        <w:ind w:left="1440" w:hanging="360"/>
      </w:pPr>
      <w:rPr>
        <w:rFonts w:ascii="Courier New" w:hAnsi="Courier New"/>
      </w:rPr>
    </w:lvl>
    <w:lvl w:ilvl="2" w:tplc="19264F3A">
      <w:start w:val="1"/>
      <w:numFmt w:val="bullet"/>
      <w:lvlText w:val=""/>
      <w:lvlJc w:val="left"/>
      <w:pPr>
        <w:tabs>
          <w:tab w:val="num" w:pos="2160"/>
        </w:tabs>
        <w:ind w:left="2160" w:hanging="360"/>
      </w:pPr>
      <w:rPr>
        <w:rFonts w:ascii="Wingdings" w:hAnsi="Wingdings"/>
      </w:rPr>
    </w:lvl>
    <w:lvl w:ilvl="3" w:tplc="BAF843B2">
      <w:start w:val="1"/>
      <w:numFmt w:val="bullet"/>
      <w:lvlText w:val=""/>
      <w:lvlJc w:val="left"/>
      <w:pPr>
        <w:tabs>
          <w:tab w:val="num" w:pos="2880"/>
        </w:tabs>
        <w:ind w:left="2880" w:hanging="360"/>
      </w:pPr>
      <w:rPr>
        <w:rFonts w:ascii="Symbol" w:hAnsi="Symbol"/>
      </w:rPr>
    </w:lvl>
    <w:lvl w:ilvl="4" w:tplc="6DA244F8">
      <w:start w:val="1"/>
      <w:numFmt w:val="bullet"/>
      <w:lvlText w:val="o"/>
      <w:lvlJc w:val="left"/>
      <w:pPr>
        <w:tabs>
          <w:tab w:val="num" w:pos="3600"/>
        </w:tabs>
        <w:ind w:left="3600" w:hanging="360"/>
      </w:pPr>
      <w:rPr>
        <w:rFonts w:ascii="Courier New" w:hAnsi="Courier New"/>
      </w:rPr>
    </w:lvl>
    <w:lvl w:ilvl="5" w:tplc="64884C9C">
      <w:start w:val="1"/>
      <w:numFmt w:val="bullet"/>
      <w:lvlText w:val=""/>
      <w:lvlJc w:val="left"/>
      <w:pPr>
        <w:tabs>
          <w:tab w:val="num" w:pos="4320"/>
        </w:tabs>
        <w:ind w:left="4320" w:hanging="360"/>
      </w:pPr>
      <w:rPr>
        <w:rFonts w:ascii="Wingdings" w:hAnsi="Wingdings"/>
      </w:rPr>
    </w:lvl>
    <w:lvl w:ilvl="6" w:tplc="8A80F92C">
      <w:start w:val="1"/>
      <w:numFmt w:val="bullet"/>
      <w:lvlText w:val=""/>
      <w:lvlJc w:val="left"/>
      <w:pPr>
        <w:tabs>
          <w:tab w:val="num" w:pos="5040"/>
        </w:tabs>
        <w:ind w:left="5040" w:hanging="360"/>
      </w:pPr>
      <w:rPr>
        <w:rFonts w:ascii="Symbol" w:hAnsi="Symbol"/>
      </w:rPr>
    </w:lvl>
    <w:lvl w:ilvl="7" w:tplc="C632EA8A">
      <w:start w:val="1"/>
      <w:numFmt w:val="bullet"/>
      <w:lvlText w:val="o"/>
      <w:lvlJc w:val="left"/>
      <w:pPr>
        <w:tabs>
          <w:tab w:val="num" w:pos="5760"/>
        </w:tabs>
        <w:ind w:left="5760" w:hanging="360"/>
      </w:pPr>
      <w:rPr>
        <w:rFonts w:ascii="Courier New" w:hAnsi="Courier New"/>
      </w:rPr>
    </w:lvl>
    <w:lvl w:ilvl="8" w:tplc="2FD2D67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16B3C"/>
    <w:rsid w:val="005E3386"/>
    <w:rsid w:val="00753512"/>
    <w:rsid w:val="007679BF"/>
    <w:rsid w:val="00973A84"/>
    <w:rsid w:val="00A77B3E"/>
    <w:rsid w:val="00AA2CE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AC042E-D6EA-4735-81CB-06A7CA29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0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2018 Q3 Exhibit 99.1 - Next Gen</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Q3 Exhibit 99.1 - Next Gen</dc:title>
  <dc:creator>Parker, Jamie SHLOIL-FR</dc:creator>
  <cp:lastModifiedBy>Fisher, Ray SHLOIL-ERM/A</cp:lastModifiedBy>
  <cp:revision>2</cp:revision>
  <dcterms:created xsi:type="dcterms:W3CDTF">2018-11-01T15:47:00Z</dcterms:created>
  <dcterms:modified xsi:type="dcterms:W3CDTF">2018-11-01T15:47:00Z</dcterms:modified>
</cp:coreProperties>
</file>