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234DA" w14:textId="06CF5949" w:rsidR="00B4091E" w:rsidRDefault="00FA2053" w:rsidP="00B4091E">
      <w:pPr>
        <w:spacing w:after="0" w:line="240" w:lineRule="auto"/>
        <w:jc w:val="center"/>
        <w:rPr>
          <w:b/>
          <w:bCs/>
          <w:sz w:val="28"/>
          <w:szCs w:val="28"/>
        </w:rPr>
      </w:pPr>
      <w:bookmarkStart w:id="0" w:name="_Hlk506991177"/>
      <w:bookmarkStart w:id="1" w:name="_GoBack"/>
      <w:bookmarkEnd w:id="0"/>
      <w:bookmarkEnd w:id="1"/>
      <w:r>
        <w:rPr>
          <w:b/>
          <w:bCs/>
          <w:sz w:val="28"/>
          <w:szCs w:val="28"/>
        </w:rPr>
        <w:t>INITIAL GLOBAL ATOMIC DRILLING INTERSECTS HIGH GRADE and OFFSCALE URANIUM MINERALIZATION at its DASA PROJECT, REPUBLIC of NIGER</w:t>
      </w:r>
    </w:p>
    <w:p w14:paraId="2F32684A" w14:textId="77777777" w:rsidR="00B4091E" w:rsidRPr="001B0CBC" w:rsidRDefault="00B4091E" w:rsidP="00B4091E">
      <w:pPr>
        <w:spacing w:after="0" w:line="240" w:lineRule="auto"/>
        <w:jc w:val="center"/>
        <w:rPr>
          <w:rFonts w:ascii="Arial" w:hAnsi="Arial" w:cs="Arial"/>
          <w:b/>
          <w:sz w:val="24"/>
          <w:szCs w:val="24"/>
        </w:rPr>
      </w:pPr>
    </w:p>
    <w:p w14:paraId="0450E557" w14:textId="3AEBFD56" w:rsidR="00022767" w:rsidRDefault="00B4091E" w:rsidP="00BA3353">
      <w:pPr>
        <w:pStyle w:val="Default"/>
        <w:jc w:val="both"/>
        <w:rPr>
          <w:rFonts w:cs="Arial"/>
          <w:sz w:val="22"/>
          <w:szCs w:val="22"/>
          <w:lang w:val="en-US"/>
        </w:rPr>
      </w:pPr>
      <w:r w:rsidRPr="003973EE">
        <w:rPr>
          <w:rFonts w:cs="Arial"/>
          <w:b/>
          <w:sz w:val="22"/>
          <w:szCs w:val="22"/>
          <w:lang w:val="en-US"/>
        </w:rPr>
        <w:t xml:space="preserve">Toronto, ON, </w:t>
      </w:r>
      <w:r w:rsidR="00D15185">
        <w:rPr>
          <w:rFonts w:cs="Arial"/>
          <w:b/>
          <w:sz w:val="22"/>
          <w:szCs w:val="22"/>
          <w:lang w:val="en-US"/>
        </w:rPr>
        <w:t>February</w:t>
      </w:r>
      <w:r w:rsidR="00AC4B35">
        <w:rPr>
          <w:rFonts w:cs="Arial"/>
          <w:b/>
          <w:sz w:val="22"/>
          <w:szCs w:val="22"/>
          <w:lang w:val="en-US"/>
        </w:rPr>
        <w:t xml:space="preserve"> 22,</w:t>
      </w:r>
      <w:r w:rsidR="00022767">
        <w:rPr>
          <w:rFonts w:cs="Arial"/>
          <w:b/>
          <w:sz w:val="22"/>
          <w:szCs w:val="22"/>
          <w:lang w:val="en-US"/>
        </w:rPr>
        <w:t xml:space="preserve"> 2018</w:t>
      </w:r>
      <w:r w:rsidRPr="003973EE">
        <w:rPr>
          <w:rFonts w:cs="Arial"/>
          <w:b/>
          <w:sz w:val="22"/>
          <w:szCs w:val="22"/>
          <w:lang w:val="en-US"/>
        </w:rPr>
        <w:t xml:space="preserve">: </w:t>
      </w:r>
      <w:r w:rsidRPr="003973EE">
        <w:rPr>
          <w:rFonts w:cs="Arial"/>
          <w:sz w:val="22"/>
          <w:szCs w:val="22"/>
          <w:lang w:val="en-US"/>
        </w:rPr>
        <w:t>Global Atomic C</w:t>
      </w:r>
      <w:r w:rsidR="00E07B67">
        <w:rPr>
          <w:rFonts w:cs="Arial"/>
          <w:sz w:val="22"/>
          <w:szCs w:val="22"/>
          <w:lang w:val="en-US"/>
        </w:rPr>
        <w:t xml:space="preserve">orporation (“Global Atomic” or </w:t>
      </w:r>
      <w:r w:rsidRPr="003973EE">
        <w:rPr>
          <w:rFonts w:cs="Arial"/>
          <w:sz w:val="22"/>
          <w:szCs w:val="22"/>
          <w:lang w:val="en-US"/>
        </w:rPr>
        <w:t xml:space="preserve">the </w:t>
      </w:r>
      <w:r w:rsidR="00E07B67">
        <w:rPr>
          <w:rFonts w:cs="Arial"/>
          <w:sz w:val="22"/>
          <w:szCs w:val="22"/>
          <w:lang w:val="en-US"/>
        </w:rPr>
        <w:t>“</w:t>
      </w:r>
      <w:r w:rsidRPr="003973EE">
        <w:rPr>
          <w:rFonts w:cs="Arial"/>
          <w:sz w:val="22"/>
          <w:szCs w:val="22"/>
          <w:lang w:val="en-US"/>
        </w:rPr>
        <w:t>Company”),</w:t>
      </w:r>
      <w:r w:rsidR="00022767" w:rsidRPr="003973EE">
        <w:rPr>
          <w:rFonts w:cs="Arial"/>
          <w:sz w:val="22"/>
          <w:szCs w:val="22"/>
          <w:lang w:val="en-US"/>
        </w:rPr>
        <w:t xml:space="preserve"> </w:t>
      </w:r>
      <w:r w:rsidR="00022767">
        <w:rPr>
          <w:rFonts w:cs="Arial"/>
          <w:sz w:val="22"/>
          <w:szCs w:val="22"/>
          <w:lang w:val="en-US"/>
        </w:rPr>
        <w:t>(TSX-V: GLO) is pleased to</w:t>
      </w:r>
      <w:r w:rsidR="00FA2053">
        <w:rPr>
          <w:rFonts w:cs="Arial"/>
          <w:sz w:val="22"/>
          <w:szCs w:val="22"/>
          <w:lang w:val="en-US"/>
        </w:rPr>
        <w:t xml:space="preserve"> report initial gamma probe results from its </w:t>
      </w:r>
      <w:r w:rsidR="00AC4B35">
        <w:rPr>
          <w:rFonts w:cs="Arial"/>
          <w:sz w:val="22"/>
          <w:szCs w:val="22"/>
          <w:lang w:val="en-US"/>
        </w:rPr>
        <w:t>current</w:t>
      </w:r>
      <w:r w:rsidR="00FA2053">
        <w:rPr>
          <w:rFonts w:cs="Arial"/>
          <w:sz w:val="22"/>
          <w:szCs w:val="22"/>
          <w:lang w:val="en-US"/>
        </w:rPr>
        <w:t xml:space="preserve"> drill program at the DASA deposit</w:t>
      </w:r>
      <w:r w:rsidR="001133BD">
        <w:rPr>
          <w:rFonts w:cs="Arial"/>
          <w:sz w:val="22"/>
          <w:szCs w:val="22"/>
          <w:lang w:val="en-US"/>
        </w:rPr>
        <w:t xml:space="preserve"> (“DASA”) in </w:t>
      </w:r>
      <w:r w:rsidR="00DD50C5">
        <w:rPr>
          <w:rFonts w:cs="Arial"/>
          <w:sz w:val="22"/>
          <w:szCs w:val="22"/>
          <w:lang w:val="en-US"/>
        </w:rPr>
        <w:t xml:space="preserve">the Republic of </w:t>
      </w:r>
      <w:r w:rsidR="001133BD">
        <w:rPr>
          <w:rFonts w:cs="Arial"/>
          <w:sz w:val="22"/>
          <w:szCs w:val="22"/>
          <w:lang w:val="en-US"/>
        </w:rPr>
        <w:t>Niger</w:t>
      </w:r>
      <w:r w:rsidR="00DD50C5">
        <w:rPr>
          <w:rFonts w:cs="Arial"/>
          <w:sz w:val="22"/>
          <w:szCs w:val="22"/>
          <w:lang w:val="en-US"/>
        </w:rPr>
        <w:t>, West Africa</w:t>
      </w:r>
      <w:r w:rsidR="00FB0DC2">
        <w:rPr>
          <w:rFonts w:cs="Arial"/>
          <w:sz w:val="22"/>
          <w:szCs w:val="22"/>
          <w:lang w:val="en-US"/>
        </w:rPr>
        <w:t>.</w:t>
      </w:r>
    </w:p>
    <w:p w14:paraId="3CB6312E" w14:textId="78FB9077" w:rsidR="00022767" w:rsidRDefault="00022767" w:rsidP="00B4091E">
      <w:pPr>
        <w:pStyle w:val="Default"/>
        <w:jc w:val="both"/>
        <w:rPr>
          <w:rFonts w:cs="Arial"/>
          <w:sz w:val="22"/>
          <w:szCs w:val="22"/>
          <w:lang w:val="en-US"/>
        </w:rPr>
      </w:pPr>
    </w:p>
    <w:p w14:paraId="65E2189E" w14:textId="04BC4A81" w:rsidR="00FA2053" w:rsidRDefault="00FA2053" w:rsidP="00B4091E">
      <w:pPr>
        <w:pStyle w:val="Default"/>
        <w:jc w:val="both"/>
        <w:rPr>
          <w:rFonts w:cs="Arial"/>
          <w:sz w:val="22"/>
          <w:szCs w:val="22"/>
          <w:lang w:val="en-US"/>
        </w:rPr>
      </w:pPr>
      <w:r>
        <w:rPr>
          <w:rFonts w:cs="Arial"/>
          <w:sz w:val="22"/>
          <w:szCs w:val="22"/>
          <w:lang w:val="en-US"/>
        </w:rPr>
        <w:t>Drilling recommenced at DASA at the end of January, 2018, following the successful merger with zin</w:t>
      </w:r>
      <w:r w:rsidR="00AC4B35">
        <w:rPr>
          <w:rFonts w:cs="Arial"/>
          <w:sz w:val="22"/>
          <w:szCs w:val="22"/>
          <w:lang w:val="en-US"/>
        </w:rPr>
        <w:t>c</w:t>
      </w:r>
      <w:r>
        <w:rPr>
          <w:rFonts w:cs="Arial"/>
          <w:sz w:val="22"/>
          <w:szCs w:val="22"/>
          <w:lang w:val="en-US"/>
        </w:rPr>
        <w:t xml:space="preserve"> producer, Silvermet Inc</w:t>
      </w:r>
      <w:r w:rsidR="00645F52">
        <w:rPr>
          <w:rFonts w:cs="Arial"/>
          <w:sz w:val="22"/>
          <w:szCs w:val="22"/>
          <w:lang w:val="en-US"/>
        </w:rPr>
        <w:t>.  The Company, now known as Global Atomic Corporation trades on the Toronto Venture Exchange under the symbol “GLO” (TSX-V: GLO).</w:t>
      </w:r>
    </w:p>
    <w:p w14:paraId="75600320" w14:textId="77777777" w:rsidR="00645F52" w:rsidRDefault="00645F52" w:rsidP="00B4091E">
      <w:pPr>
        <w:pStyle w:val="Default"/>
        <w:jc w:val="both"/>
        <w:rPr>
          <w:rFonts w:cs="Arial"/>
          <w:sz w:val="22"/>
          <w:szCs w:val="22"/>
          <w:lang w:val="en-US"/>
        </w:rPr>
      </w:pPr>
    </w:p>
    <w:p w14:paraId="09621CD0" w14:textId="10548A8D" w:rsidR="00FA2053" w:rsidRDefault="00FA2053" w:rsidP="00B4091E">
      <w:pPr>
        <w:pStyle w:val="Default"/>
        <w:jc w:val="both"/>
        <w:rPr>
          <w:rFonts w:cs="Arial"/>
          <w:sz w:val="22"/>
          <w:szCs w:val="22"/>
          <w:lang w:val="en-US"/>
        </w:rPr>
      </w:pPr>
      <w:r>
        <w:rPr>
          <w:rFonts w:cs="Arial"/>
          <w:sz w:val="22"/>
          <w:szCs w:val="22"/>
          <w:lang w:val="en-US"/>
        </w:rPr>
        <w:t>Global Atomic has begun a 30,000</w:t>
      </w:r>
      <w:r w:rsidR="00095078">
        <w:rPr>
          <w:rFonts w:cs="Arial"/>
          <w:sz w:val="22"/>
          <w:szCs w:val="22"/>
          <w:lang w:val="en-US"/>
        </w:rPr>
        <w:t xml:space="preserve"> </w:t>
      </w:r>
      <w:r>
        <w:rPr>
          <w:rFonts w:cs="Arial"/>
          <w:sz w:val="22"/>
          <w:szCs w:val="22"/>
          <w:lang w:val="en-US"/>
        </w:rPr>
        <w:t>m</w:t>
      </w:r>
      <w:r w:rsidR="00095078">
        <w:rPr>
          <w:rFonts w:cs="Arial"/>
          <w:sz w:val="22"/>
          <w:szCs w:val="22"/>
          <w:lang w:val="en-US"/>
        </w:rPr>
        <w:t>eter</w:t>
      </w:r>
      <w:r>
        <w:rPr>
          <w:rFonts w:cs="Arial"/>
          <w:sz w:val="22"/>
          <w:szCs w:val="22"/>
          <w:lang w:val="en-US"/>
        </w:rPr>
        <w:t xml:space="preserve"> drill program focused on defining an area </w:t>
      </w:r>
      <w:r w:rsidR="00AC4B35">
        <w:rPr>
          <w:rFonts w:cs="Arial"/>
          <w:sz w:val="22"/>
          <w:szCs w:val="22"/>
          <w:lang w:val="en-US"/>
        </w:rPr>
        <w:t>suitable for</w:t>
      </w:r>
      <w:r>
        <w:rPr>
          <w:rFonts w:cs="Arial"/>
          <w:sz w:val="22"/>
          <w:szCs w:val="22"/>
          <w:lang w:val="en-US"/>
        </w:rPr>
        <w:t xml:space="preserve"> open pit mining called the Flank Zone.  This area of the DASA deposit is within the Tchirozerine 2 (T2) formation which outcrops and then dips into the graben where it becomes high grade when capped with a mudstone hanging wall unit called the Irhazer (IRH).</w:t>
      </w:r>
    </w:p>
    <w:p w14:paraId="2B766B35" w14:textId="7F64D470" w:rsidR="00FA2053" w:rsidRDefault="00FA2053" w:rsidP="00B4091E">
      <w:pPr>
        <w:pStyle w:val="Default"/>
        <w:jc w:val="both"/>
        <w:rPr>
          <w:rFonts w:cs="Arial"/>
          <w:sz w:val="22"/>
          <w:szCs w:val="22"/>
          <w:lang w:val="en-US"/>
        </w:rPr>
      </w:pPr>
    </w:p>
    <w:p w14:paraId="5A36C997" w14:textId="484E6584" w:rsidR="00645F52" w:rsidRDefault="00645F52" w:rsidP="00B4091E">
      <w:pPr>
        <w:pStyle w:val="Default"/>
        <w:jc w:val="both"/>
        <w:rPr>
          <w:rFonts w:cs="Arial"/>
          <w:sz w:val="22"/>
          <w:szCs w:val="22"/>
          <w:lang w:val="en-US"/>
        </w:rPr>
      </w:pPr>
      <w:r>
        <w:rPr>
          <w:rFonts w:cs="Arial"/>
          <w:sz w:val="22"/>
          <w:szCs w:val="22"/>
          <w:lang w:val="en-US"/>
        </w:rPr>
        <w:t>The first two holes drilled on the Flank Zone returned as follows:</w:t>
      </w:r>
    </w:p>
    <w:p w14:paraId="029967A0" w14:textId="52292377" w:rsidR="00645F52" w:rsidRDefault="00645F52" w:rsidP="00B4091E">
      <w:pPr>
        <w:pStyle w:val="Default"/>
        <w:jc w:val="both"/>
        <w:rPr>
          <w:rFonts w:cs="Arial"/>
          <w:sz w:val="22"/>
          <w:szCs w:val="22"/>
          <w:lang w:val="en-US"/>
        </w:rPr>
      </w:pPr>
    </w:p>
    <w:tbl>
      <w:tblPr>
        <w:tblStyle w:val="TableGrid"/>
        <w:tblW w:w="0" w:type="auto"/>
        <w:tblLook w:val="04A0" w:firstRow="1" w:lastRow="0" w:firstColumn="1" w:lastColumn="0" w:noHBand="0" w:noVBand="1"/>
      </w:tblPr>
      <w:tblGrid>
        <w:gridCol w:w="2065"/>
        <w:gridCol w:w="2962"/>
        <w:gridCol w:w="2514"/>
        <w:gridCol w:w="2514"/>
      </w:tblGrid>
      <w:tr w:rsidR="00645F52" w14:paraId="7FF3617E" w14:textId="77777777" w:rsidTr="00095078">
        <w:tc>
          <w:tcPr>
            <w:tcW w:w="2065" w:type="dxa"/>
          </w:tcPr>
          <w:p w14:paraId="0DD5707A" w14:textId="5ED26307" w:rsidR="00645F52" w:rsidRPr="00645F52" w:rsidRDefault="00645F52" w:rsidP="00645F52">
            <w:pPr>
              <w:pStyle w:val="Default"/>
              <w:jc w:val="center"/>
              <w:rPr>
                <w:rFonts w:cs="Arial"/>
                <w:b/>
                <w:sz w:val="22"/>
                <w:szCs w:val="22"/>
                <w:lang w:val="en-US"/>
              </w:rPr>
            </w:pPr>
            <w:r w:rsidRPr="00645F52">
              <w:rPr>
                <w:rFonts w:cs="Arial"/>
                <w:b/>
                <w:sz w:val="22"/>
                <w:szCs w:val="22"/>
                <w:lang w:val="en-US"/>
              </w:rPr>
              <w:t>Hole</w:t>
            </w:r>
          </w:p>
        </w:tc>
        <w:tc>
          <w:tcPr>
            <w:tcW w:w="2962" w:type="dxa"/>
          </w:tcPr>
          <w:p w14:paraId="5048A401" w14:textId="1B6FC92A" w:rsidR="00645F52" w:rsidRPr="00645F52" w:rsidRDefault="00645F52" w:rsidP="00645F52">
            <w:pPr>
              <w:pStyle w:val="Default"/>
              <w:jc w:val="center"/>
              <w:rPr>
                <w:rFonts w:cs="Arial"/>
                <w:b/>
                <w:sz w:val="22"/>
                <w:szCs w:val="22"/>
                <w:lang w:val="en-US"/>
              </w:rPr>
            </w:pPr>
            <w:r w:rsidRPr="00645F52">
              <w:rPr>
                <w:rFonts w:cs="Arial"/>
                <w:b/>
                <w:sz w:val="22"/>
                <w:szCs w:val="22"/>
                <w:lang w:val="en-US"/>
              </w:rPr>
              <w:t xml:space="preserve">From </w:t>
            </w:r>
            <w:r w:rsidR="00095078">
              <w:rPr>
                <w:rFonts w:cs="Arial"/>
                <w:b/>
                <w:sz w:val="22"/>
                <w:szCs w:val="22"/>
                <w:lang w:val="en-US"/>
              </w:rPr>
              <w:t xml:space="preserve">(meters) </w:t>
            </w:r>
            <w:r w:rsidRPr="00645F52">
              <w:rPr>
                <w:rFonts w:cs="Arial"/>
                <w:b/>
                <w:sz w:val="22"/>
                <w:szCs w:val="22"/>
                <w:lang w:val="en-US"/>
              </w:rPr>
              <w:t>– To (meters)</w:t>
            </w:r>
          </w:p>
        </w:tc>
        <w:tc>
          <w:tcPr>
            <w:tcW w:w="2514" w:type="dxa"/>
          </w:tcPr>
          <w:p w14:paraId="0DC8903C" w14:textId="4B17314B" w:rsidR="00645F52" w:rsidRPr="00645F52" w:rsidRDefault="00645F52" w:rsidP="00645F52">
            <w:pPr>
              <w:pStyle w:val="Default"/>
              <w:jc w:val="center"/>
              <w:rPr>
                <w:rFonts w:cs="Arial"/>
                <w:b/>
                <w:sz w:val="22"/>
                <w:szCs w:val="22"/>
                <w:lang w:val="en-US"/>
              </w:rPr>
            </w:pPr>
            <w:r w:rsidRPr="00645F52">
              <w:rPr>
                <w:rFonts w:cs="Arial"/>
                <w:b/>
                <w:sz w:val="22"/>
                <w:szCs w:val="22"/>
                <w:lang w:val="en-US"/>
              </w:rPr>
              <w:t>Length (meters)</w:t>
            </w:r>
          </w:p>
        </w:tc>
        <w:tc>
          <w:tcPr>
            <w:tcW w:w="2514" w:type="dxa"/>
          </w:tcPr>
          <w:p w14:paraId="6252076A" w14:textId="76BD733F" w:rsidR="00645F52" w:rsidRPr="00645F52" w:rsidRDefault="00645F52" w:rsidP="00645F52">
            <w:pPr>
              <w:pStyle w:val="Default"/>
              <w:jc w:val="center"/>
              <w:rPr>
                <w:rFonts w:cs="Arial"/>
                <w:b/>
                <w:sz w:val="22"/>
                <w:szCs w:val="22"/>
                <w:lang w:val="en-US"/>
              </w:rPr>
            </w:pPr>
            <w:r w:rsidRPr="00645F52">
              <w:rPr>
                <w:rFonts w:cs="Arial"/>
                <w:b/>
                <w:sz w:val="22"/>
                <w:szCs w:val="22"/>
                <w:lang w:val="en-US"/>
              </w:rPr>
              <w:t xml:space="preserve">Grade </w:t>
            </w:r>
            <w:r>
              <w:rPr>
                <w:rFonts w:cs="Arial"/>
                <w:b/>
                <w:sz w:val="22"/>
                <w:szCs w:val="22"/>
                <w:lang w:val="en-US"/>
              </w:rPr>
              <w:t>(</w:t>
            </w:r>
            <w:r w:rsidRPr="00645F52">
              <w:rPr>
                <w:rFonts w:cs="Arial"/>
                <w:b/>
                <w:sz w:val="22"/>
                <w:szCs w:val="22"/>
                <w:lang w:val="en-US"/>
              </w:rPr>
              <w:t>ppm</w:t>
            </w:r>
            <w:r w:rsidR="007A31D0">
              <w:rPr>
                <w:rFonts w:cs="Arial"/>
                <w:b/>
                <w:sz w:val="22"/>
                <w:szCs w:val="22"/>
                <w:lang w:val="en-US"/>
              </w:rPr>
              <w:t xml:space="preserve"> /</w:t>
            </w:r>
            <w:r w:rsidR="003D3C46">
              <w:rPr>
                <w:rFonts w:cs="Arial"/>
                <w:b/>
                <w:sz w:val="22"/>
                <w:szCs w:val="22"/>
                <w:lang w:val="en-US"/>
              </w:rPr>
              <w:t xml:space="preserve"> % U</w:t>
            </w:r>
            <w:r w:rsidR="003D3C46" w:rsidRPr="003D3C46">
              <w:rPr>
                <w:rFonts w:cs="Arial"/>
                <w:b/>
                <w:sz w:val="22"/>
                <w:szCs w:val="22"/>
                <w:vertAlign w:val="subscript"/>
                <w:lang w:val="en-US"/>
              </w:rPr>
              <w:t>3</w:t>
            </w:r>
            <w:r w:rsidR="003D3C46" w:rsidRPr="003D3C46">
              <w:rPr>
                <w:rFonts w:cs="Arial"/>
                <w:b/>
                <w:sz w:val="22"/>
                <w:szCs w:val="22"/>
                <w:lang w:val="en-US"/>
              </w:rPr>
              <w:t>O</w:t>
            </w:r>
            <w:r w:rsidR="003D3C46" w:rsidRPr="003D3C46">
              <w:rPr>
                <w:rFonts w:cs="Arial"/>
                <w:b/>
                <w:sz w:val="22"/>
                <w:szCs w:val="22"/>
                <w:vertAlign w:val="subscript"/>
                <w:lang w:val="en-US"/>
              </w:rPr>
              <w:t>8</w:t>
            </w:r>
            <w:r w:rsidRPr="003D3C46">
              <w:rPr>
                <w:rFonts w:cs="Arial"/>
                <w:b/>
                <w:sz w:val="22"/>
                <w:szCs w:val="22"/>
                <w:lang w:val="en-US"/>
              </w:rPr>
              <w:t>)</w:t>
            </w:r>
          </w:p>
        </w:tc>
      </w:tr>
      <w:tr w:rsidR="00645F52" w14:paraId="3D8F2FA8" w14:textId="77777777" w:rsidTr="00095078">
        <w:trPr>
          <w:trHeight w:val="826"/>
        </w:trPr>
        <w:tc>
          <w:tcPr>
            <w:tcW w:w="2065" w:type="dxa"/>
          </w:tcPr>
          <w:p w14:paraId="7AF854C9" w14:textId="77777777" w:rsidR="00645F52" w:rsidRPr="00645F52" w:rsidRDefault="00645F52" w:rsidP="00645F52">
            <w:pPr>
              <w:pStyle w:val="Default"/>
              <w:jc w:val="center"/>
              <w:rPr>
                <w:rFonts w:cs="Arial"/>
                <w:sz w:val="22"/>
                <w:szCs w:val="22"/>
                <w:lang w:val="en-US"/>
              </w:rPr>
            </w:pPr>
            <w:r>
              <w:rPr>
                <w:rFonts w:cs="Arial"/>
                <w:sz w:val="22"/>
                <w:szCs w:val="22"/>
                <w:lang w:val="en-US"/>
              </w:rPr>
              <w:t>ASDH 538</w:t>
            </w:r>
          </w:p>
          <w:p w14:paraId="07AC945E" w14:textId="77777777" w:rsidR="00645F52" w:rsidRPr="00645F52" w:rsidRDefault="00645F52" w:rsidP="00645F52">
            <w:pPr>
              <w:pStyle w:val="Default"/>
              <w:jc w:val="center"/>
              <w:rPr>
                <w:rFonts w:cs="Arial"/>
                <w:sz w:val="22"/>
                <w:szCs w:val="22"/>
                <w:lang w:val="en-US"/>
              </w:rPr>
            </w:pPr>
            <w:r>
              <w:rPr>
                <w:rFonts w:cs="Arial"/>
                <w:sz w:val="22"/>
                <w:szCs w:val="22"/>
                <w:lang w:val="en-US"/>
              </w:rPr>
              <w:t>including</w:t>
            </w:r>
          </w:p>
          <w:p w14:paraId="422A1286" w14:textId="02C48D8E" w:rsidR="00645F52" w:rsidRPr="00645F52" w:rsidRDefault="00645F52" w:rsidP="00645F52">
            <w:pPr>
              <w:pStyle w:val="Default"/>
              <w:jc w:val="center"/>
              <w:rPr>
                <w:rFonts w:cs="Arial"/>
                <w:sz w:val="22"/>
                <w:szCs w:val="22"/>
                <w:lang w:val="en-US"/>
              </w:rPr>
            </w:pPr>
            <w:r>
              <w:rPr>
                <w:rFonts w:cs="Arial"/>
                <w:sz w:val="22"/>
                <w:szCs w:val="22"/>
                <w:lang w:val="en-US"/>
              </w:rPr>
              <w:t>including</w:t>
            </w:r>
          </w:p>
        </w:tc>
        <w:tc>
          <w:tcPr>
            <w:tcW w:w="2962" w:type="dxa"/>
          </w:tcPr>
          <w:p w14:paraId="55F08F2F" w14:textId="77777777" w:rsidR="00645F52" w:rsidRPr="00645F52" w:rsidRDefault="00645F52" w:rsidP="00645F52">
            <w:pPr>
              <w:pStyle w:val="Default"/>
              <w:jc w:val="center"/>
              <w:rPr>
                <w:rFonts w:cs="Arial"/>
                <w:sz w:val="22"/>
                <w:szCs w:val="22"/>
                <w:lang w:val="en-US"/>
              </w:rPr>
            </w:pPr>
            <w:r w:rsidRPr="00645F52">
              <w:rPr>
                <w:rFonts w:cs="Arial"/>
                <w:sz w:val="22"/>
                <w:szCs w:val="22"/>
                <w:lang w:val="en-US"/>
              </w:rPr>
              <w:t>1</w:t>
            </w:r>
            <w:r>
              <w:rPr>
                <w:rFonts w:cs="Arial"/>
                <w:sz w:val="22"/>
                <w:szCs w:val="22"/>
                <w:lang w:val="en-US"/>
              </w:rPr>
              <w:t>63.2 – 258.4</w:t>
            </w:r>
          </w:p>
          <w:p w14:paraId="7716616D" w14:textId="77777777" w:rsidR="00645F52" w:rsidRPr="00645F52" w:rsidRDefault="00645F52" w:rsidP="00645F52">
            <w:pPr>
              <w:pStyle w:val="Default"/>
              <w:jc w:val="center"/>
              <w:rPr>
                <w:rFonts w:cs="Arial"/>
                <w:sz w:val="22"/>
                <w:szCs w:val="22"/>
                <w:lang w:val="en-US"/>
              </w:rPr>
            </w:pPr>
            <w:r>
              <w:rPr>
                <w:rFonts w:cs="Arial"/>
                <w:sz w:val="22"/>
                <w:szCs w:val="22"/>
                <w:lang w:val="en-US"/>
              </w:rPr>
              <w:t>199.1 – 200.5</w:t>
            </w:r>
          </w:p>
          <w:p w14:paraId="631584E1" w14:textId="30A49B58" w:rsidR="00645F52" w:rsidRPr="00645F52" w:rsidRDefault="00645F52" w:rsidP="00645F52">
            <w:pPr>
              <w:pStyle w:val="Default"/>
              <w:jc w:val="center"/>
              <w:rPr>
                <w:rFonts w:cs="Arial"/>
                <w:sz w:val="22"/>
                <w:szCs w:val="22"/>
                <w:lang w:val="en-US"/>
              </w:rPr>
            </w:pPr>
            <w:r>
              <w:rPr>
                <w:rFonts w:cs="Arial"/>
                <w:sz w:val="22"/>
                <w:szCs w:val="22"/>
                <w:lang w:val="en-US"/>
              </w:rPr>
              <w:t>240.1 – 253.1</w:t>
            </w:r>
          </w:p>
        </w:tc>
        <w:tc>
          <w:tcPr>
            <w:tcW w:w="2514" w:type="dxa"/>
          </w:tcPr>
          <w:p w14:paraId="50617B1E" w14:textId="77777777" w:rsidR="00645F52" w:rsidRPr="00645F52" w:rsidRDefault="00645F52" w:rsidP="00645F52">
            <w:pPr>
              <w:pStyle w:val="Default"/>
              <w:jc w:val="center"/>
              <w:rPr>
                <w:rFonts w:cs="Arial"/>
                <w:sz w:val="22"/>
                <w:szCs w:val="22"/>
                <w:lang w:val="en-US"/>
              </w:rPr>
            </w:pPr>
            <w:r>
              <w:rPr>
                <w:rFonts w:cs="Arial"/>
                <w:sz w:val="22"/>
                <w:szCs w:val="22"/>
                <w:lang w:val="en-US"/>
              </w:rPr>
              <w:t>95.2</w:t>
            </w:r>
          </w:p>
          <w:p w14:paraId="0904EDAC" w14:textId="77777777" w:rsidR="00645F52" w:rsidRPr="00645F52" w:rsidRDefault="00645F52" w:rsidP="00645F52">
            <w:pPr>
              <w:pStyle w:val="Default"/>
              <w:jc w:val="center"/>
              <w:rPr>
                <w:rFonts w:cs="Arial"/>
                <w:sz w:val="22"/>
                <w:szCs w:val="22"/>
                <w:lang w:val="en-US"/>
              </w:rPr>
            </w:pPr>
            <w:r>
              <w:rPr>
                <w:rFonts w:cs="Arial"/>
                <w:sz w:val="22"/>
                <w:szCs w:val="22"/>
                <w:lang w:val="en-US"/>
              </w:rPr>
              <w:t>1.4</w:t>
            </w:r>
          </w:p>
          <w:p w14:paraId="4B97A2A6" w14:textId="1D1EA612" w:rsidR="00645F52" w:rsidRPr="00645F52" w:rsidRDefault="00645F52" w:rsidP="00645F52">
            <w:pPr>
              <w:pStyle w:val="Default"/>
              <w:jc w:val="center"/>
              <w:rPr>
                <w:rFonts w:cs="Arial"/>
                <w:sz w:val="22"/>
                <w:szCs w:val="22"/>
                <w:lang w:val="en-US"/>
              </w:rPr>
            </w:pPr>
            <w:r>
              <w:rPr>
                <w:rFonts w:cs="Arial"/>
                <w:sz w:val="22"/>
                <w:szCs w:val="22"/>
                <w:lang w:val="en-US"/>
              </w:rPr>
              <w:t>13.0</w:t>
            </w:r>
          </w:p>
        </w:tc>
        <w:tc>
          <w:tcPr>
            <w:tcW w:w="2514" w:type="dxa"/>
          </w:tcPr>
          <w:p w14:paraId="3053A795" w14:textId="5D3E2A82" w:rsidR="00645F52" w:rsidRPr="00645F52" w:rsidRDefault="00645F52" w:rsidP="00645F52">
            <w:pPr>
              <w:pStyle w:val="Default"/>
              <w:jc w:val="center"/>
              <w:rPr>
                <w:rFonts w:cs="Arial"/>
                <w:sz w:val="22"/>
                <w:szCs w:val="22"/>
                <w:lang w:val="en-US"/>
              </w:rPr>
            </w:pPr>
            <w:r>
              <w:rPr>
                <w:rFonts w:cs="Arial"/>
                <w:sz w:val="22"/>
                <w:szCs w:val="22"/>
                <w:lang w:val="en-US"/>
              </w:rPr>
              <w:t>4,442</w:t>
            </w:r>
          </w:p>
          <w:p w14:paraId="69381D1F" w14:textId="1BE6E8FA" w:rsidR="00645F52" w:rsidRPr="00645F52" w:rsidRDefault="00645F52" w:rsidP="00645F52">
            <w:pPr>
              <w:pStyle w:val="Default"/>
              <w:jc w:val="center"/>
              <w:rPr>
                <w:rFonts w:cs="Arial"/>
                <w:sz w:val="22"/>
                <w:szCs w:val="22"/>
                <w:lang w:val="en-US"/>
              </w:rPr>
            </w:pPr>
            <w:r>
              <w:rPr>
                <w:rFonts w:cs="Arial"/>
                <w:sz w:val="22"/>
                <w:szCs w:val="22"/>
                <w:lang w:val="en-US"/>
              </w:rPr>
              <w:t>27,720 (2.77% U</w:t>
            </w:r>
            <w:r w:rsidR="00DF09F0" w:rsidRPr="003D3C46">
              <w:rPr>
                <w:rFonts w:cs="Arial"/>
                <w:sz w:val="22"/>
                <w:szCs w:val="22"/>
                <w:vertAlign w:val="subscript"/>
                <w:lang w:val="en-US"/>
              </w:rPr>
              <w:t>3</w:t>
            </w:r>
            <w:r w:rsidR="00DF09F0">
              <w:rPr>
                <w:rFonts w:cs="Arial"/>
                <w:sz w:val="22"/>
                <w:szCs w:val="22"/>
                <w:lang w:val="en-US"/>
              </w:rPr>
              <w:t>O</w:t>
            </w:r>
            <w:r w:rsidR="00DF09F0" w:rsidRPr="003D3C46">
              <w:rPr>
                <w:rFonts w:cs="Arial"/>
                <w:sz w:val="22"/>
                <w:szCs w:val="22"/>
                <w:vertAlign w:val="subscript"/>
                <w:lang w:val="en-US"/>
              </w:rPr>
              <w:t>8</w:t>
            </w:r>
            <w:r>
              <w:rPr>
                <w:rFonts w:cs="Arial"/>
                <w:sz w:val="22"/>
                <w:szCs w:val="22"/>
                <w:lang w:val="en-US"/>
              </w:rPr>
              <w:t>)</w:t>
            </w:r>
          </w:p>
          <w:p w14:paraId="13479E43" w14:textId="33A805F8" w:rsidR="00645F52" w:rsidRPr="00645F52" w:rsidRDefault="00645F52" w:rsidP="00645F52">
            <w:pPr>
              <w:pStyle w:val="Default"/>
              <w:jc w:val="center"/>
              <w:rPr>
                <w:rFonts w:cs="Arial"/>
                <w:sz w:val="22"/>
                <w:szCs w:val="22"/>
                <w:lang w:val="en-US"/>
              </w:rPr>
            </w:pPr>
            <w:r>
              <w:rPr>
                <w:rFonts w:cs="Arial"/>
                <w:sz w:val="22"/>
                <w:szCs w:val="22"/>
                <w:lang w:val="en-US"/>
              </w:rPr>
              <w:t>18,355 (1.83% U</w:t>
            </w:r>
            <w:r w:rsidR="003D3C46" w:rsidRPr="003D3C46">
              <w:rPr>
                <w:rFonts w:cs="Arial"/>
                <w:sz w:val="22"/>
                <w:szCs w:val="22"/>
                <w:vertAlign w:val="subscript"/>
                <w:lang w:val="en-US"/>
              </w:rPr>
              <w:t>3</w:t>
            </w:r>
            <w:r w:rsidR="003D3C46">
              <w:rPr>
                <w:rFonts w:cs="Arial"/>
                <w:sz w:val="22"/>
                <w:szCs w:val="22"/>
                <w:lang w:val="en-US"/>
              </w:rPr>
              <w:t>O</w:t>
            </w:r>
            <w:r w:rsidR="003D3C46" w:rsidRPr="003D3C46">
              <w:rPr>
                <w:rFonts w:cs="Arial"/>
                <w:sz w:val="22"/>
                <w:szCs w:val="22"/>
                <w:vertAlign w:val="subscript"/>
                <w:lang w:val="en-US"/>
              </w:rPr>
              <w:t>8</w:t>
            </w:r>
            <w:r>
              <w:rPr>
                <w:rFonts w:cs="Arial"/>
                <w:sz w:val="22"/>
                <w:szCs w:val="22"/>
                <w:lang w:val="en-US"/>
              </w:rPr>
              <w:t>)</w:t>
            </w:r>
          </w:p>
        </w:tc>
      </w:tr>
      <w:tr w:rsidR="00645F52" w14:paraId="2EB5FE4D" w14:textId="77777777" w:rsidTr="00095078">
        <w:trPr>
          <w:trHeight w:val="826"/>
        </w:trPr>
        <w:tc>
          <w:tcPr>
            <w:tcW w:w="2065" w:type="dxa"/>
          </w:tcPr>
          <w:p w14:paraId="54A3DE30" w14:textId="705C6A51" w:rsidR="00645F52" w:rsidRDefault="00645F52" w:rsidP="00645F52">
            <w:pPr>
              <w:pStyle w:val="Default"/>
              <w:jc w:val="center"/>
              <w:rPr>
                <w:rFonts w:cs="Arial"/>
                <w:sz w:val="22"/>
                <w:szCs w:val="22"/>
                <w:lang w:val="en-US"/>
              </w:rPr>
            </w:pPr>
            <w:r>
              <w:rPr>
                <w:rFonts w:cs="Arial"/>
                <w:sz w:val="22"/>
                <w:szCs w:val="22"/>
                <w:lang w:val="en-US"/>
              </w:rPr>
              <w:t>ASDH 541</w:t>
            </w:r>
            <w:r>
              <w:rPr>
                <w:rFonts w:cs="Arial"/>
                <w:sz w:val="22"/>
                <w:szCs w:val="22"/>
                <w:lang w:val="en-US"/>
              </w:rPr>
              <w:br/>
              <w:t>including</w:t>
            </w:r>
            <w:r>
              <w:rPr>
                <w:rFonts w:cs="Arial"/>
                <w:sz w:val="22"/>
                <w:szCs w:val="22"/>
                <w:lang w:val="en-US"/>
              </w:rPr>
              <w:br/>
              <w:t>including</w:t>
            </w:r>
          </w:p>
        </w:tc>
        <w:tc>
          <w:tcPr>
            <w:tcW w:w="2962" w:type="dxa"/>
          </w:tcPr>
          <w:p w14:paraId="37470371" w14:textId="77777777" w:rsidR="00645F52" w:rsidRDefault="00645F52" w:rsidP="00645F52">
            <w:pPr>
              <w:pStyle w:val="Default"/>
              <w:jc w:val="center"/>
              <w:rPr>
                <w:rFonts w:cs="Arial"/>
                <w:sz w:val="22"/>
                <w:szCs w:val="22"/>
                <w:lang w:val="en-US"/>
              </w:rPr>
            </w:pPr>
            <w:r>
              <w:rPr>
                <w:rFonts w:cs="Arial"/>
                <w:sz w:val="22"/>
                <w:szCs w:val="22"/>
                <w:lang w:val="en-US"/>
              </w:rPr>
              <w:t>240.3 – 284.6</w:t>
            </w:r>
          </w:p>
          <w:p w14:paraId="2D8FACEF" w14:textId="05C73EBD" w:rsidR="00645F52" w:rsidRPr="00645F52" w:rsidRDefault="00645F52" w:rsidP="00645F52">
            <w:pPr>
              <w:pStyle w:val="Default"/>
              <w:jc w:val="center"/>
              <w:rPr>
                <w:rFonts w:cs="Arial"/>
                <w:sz w:val="22"/>
                <w:szCs w:val="22"/>
                <w:lang w:val="en-US"/>
              </w:rPr>
            </w:pPr>
            <w:r>
              <w:rPr>
                <w:rFonts w:cs="Arial"/>
                <w:sz w:val="22"/>
                <w:szCs w:val="22"/>
                <w:lang w:val="en-US"/>
              </w:rPr>
              <w:t>243.4 – 252.5</w:t>
            </w:r>
            <w:r>
              <w:rPr>
                <w:rFonts w:cs="Arial"/>
                <w:sz w:val="22"/>
                <w:szCs w:val="22"/>
                <w:lang w:val="en-US"/>
              </w:rPr>
              <w:br/>
              <w:t>267.3 – 269.5</w:t>
            </w:r>
          </w:p>
        </w:tc>
        <w:tc>
          <w:tcPr>
            <w:tcW w:w="2514" w:type="dxa"/>
          </w:tcPr>
          <w:p w14:paraId="7BEA09F6" w14:textId="4B46ECDA" w:rsidR="00645F52" w:rsidRDefault="00645F52" w:rsidP="00645F52">
            <w:pPr>
              <w:pStyle w:val="Default"/>
              <w:jc w:val="center"/>
              <w:rPr>
                <w:rFonts w:cs="Arial"/>
                <w:sz w:val="22"/>
                <w:szCs w:val="22"/>
                <w:lang w:val="en-US"/>
              </w:rPr>
            </w:pPr>
            <w:r>
              <w:rPr>
                <w:rFonts w:cs="Arial"/>
                <w:sz w:val="22"/>
                <w:szCs w:val="22"/>
                <w:lang w:val="en-US"/>
              </w:rPr>
              <w:t>44.3</w:t>
            </w:r>
            <w:r>
              <w:rPr>
                <w:rFonts w:cs="Arial"/>
                <w:sz w:val="22"/>
                <w:szCs w:val="22"/>
                <w:lang w:val="en-US"/>
              </w:rPr>
              <w:br/>
              <w:t>9.1</w:t>
            </w:r>
            <w:r>
              <w:rPr>
                <w:rFonts w:cs="Arial"/>
                <w:sz w:val="22"/>
                <w:szCs w:val="22"/>
                <w:lang w:val="en-US"/>
              </w:rPr>
              <w:br/>
              <w:t>2.2</w:t>
            </w:r>
          </w:p>
        </w:tc>
        <w:tc>
          <w:tcPr>
            <w:tcW w:w="2514" w:type="dxa"/>
          </w:tcPr>
          <w:p w14:paraId="5C8D2AF6" w14:textId="23DE3A39" w:rsidR="00645F52" w:rsidRDefault="00645F52" w:rsidP="00645F52">
            <w:pPr>
              <w:pStyle w:val="Default"/>
              <w:jc w:val="center"/>
              <w:rPr>
                <w:rFonts w:cs="Arial"/>
                <w:sz w:val="22"/>
                <w:szCs w:val="22"/>
                <w:lang w:val="en-US"/>
              </w:rPr>
            </w:pPr>
            <w:r>
              <w:rPr>
                <w:rFonts w:cs="Arial"/>
                <w:sz w:val="22"/>
                <w:szCs w:val="22"/>
                <w:lang w:val="en-US"/>
              </w:rPr>
              <w:t>6,682</w:t>
            </w:r>
            <w:r>
              <w:rPr>
                <w:rFonts w:cs="Arial"/>
                <w:sz w:val="22"/>
                <w:szCs w:val="22"/>
                <w:lang w:val="en-US"/>
              </w:rPr>
              <w:br/>
              <w:t>11,116 (1.12% U</w:t>
            </w:r>
            <w:r w:rsidR="003D3C46" w:rsidRPr="003D3C46">
              <w:rPr>
                <w:rFonts w:cs="Arial"/>
                <w:sz w:val="22"/>
                <w:szCs w:val="22"/>
                <w:vertAlign w:val="subscript"/>
                <w:lang w:val="en-US"/>
              </w:rPr>
              <w:t>3</w:t>
            </w:r>
            <w:r w:rsidR="003D3C46">
              <w:rPr>
                <w:rFonts w:cs="Arial"/>
                <w:sz w:val="22"/>
                <w:szCs w:val="22"/>
                <w:lang w:val="en-US"/>
              </w:rPr>
              <w:t>O</w:t>
            </w:r>
            <w:r w:rsidR="003D3C46" w:rsidRPr="003D3C46">
              <w:rPr>
                <w:rFonts w:cs="Arial"/>
                <w:sz w:val="22"/>
                <w:szCs w:val="22"/>
                <w:vertAlign w:val="subscript"/>
                <w:lang w:val="en-US"/>
              </w:rPr>
              <w:t>8</w:t>
            </w:r>
            <w:r>
              <w:rPr>
                <w:rFonts w:cs="Arial"/>
                <w:sz w:val="22"/>
                <w:szCs w:val="22"/>
                <w:lang w:val="en-US"/>
              </w:rPr>
              <w:t>)</w:t>
            </w:r>
            <w:r>
              <w:rPr>
                <w:rFonts w:cs="Arial"/>
                <w:sz w:val="22"/>
                <w:szCs w:val="22"/>
                <w:lang w:val="en-US"/>
              </w:rPr>
              <w:br/>
              <w:t>20,806 (2.08% U</w:t>
            </w:r>
            <w:r w:rsidR="003D3C46" w:rsidRPr="003D3C46">
              <w:rPr>
                <w:rFonts w:cs="Arial"/>
                <w:sz w:val="22"/>
                <w:szCs w:val="22"/>
                <w:vertAlign w:val="subscript"/>
                <w:lang w:val="en-US"/>
              </w:rPr>
              <w:t>3</w:t>
            </w:r>
            <w:r w:rsidR="003D3C46">
              <w:rPr>
                <w:rFonts w:cs="Arial"/>
                <w:sz w:val="22"/>
                <w:szCs w:val="22"/>
                <w:lang w:val="en-US"/>
              </w:rPr>
              <w:t>O</w:t>
            </w:r>
            <w:r w:rsidR="003D3C46" w:rsidRPr="003D3C46">
              <w:rPr>
                <w:rFonts w:cs="Arial"/>
                <w:sz w:val="22"/>
                <w:szCs w:val="22"/>
                <w:vertAlign w:val="subscript"/>
                <w:lang w:val="en-US"/>
              </w:rPr>
              <w:t>8</w:t>
            </w:r>
            <w:r>
              <w:rPr>
                <w:rFonts w:cs="Arial"/>
                <w:sz w:val="22"/>
                <w:szCs w:val="22"/>
                <w:lang w:val="en-US"/>
              </w:rPr>
              <w:t>)</w:t>
            </w:r>
          </w:p>
        </w:tc>
      </w:tr>
    </w:tbl>
    <w:p w14:paraId="0F426ADF" w14:textId="571DBE5B" w:rsidR="00645F52" w:rsidRDefault="00645F52" w:rsidP="00B4091E">
      <w:pPr>
        <w:pStyle w:val="Default"/>
        <w:jc w:val="both"/>
        <w:rPr>
          <w:rFonts w:cs="Arial"/>
          <w:sz w:val="22"/>
          <w:szCs w:val="22"/>
          <w:lang w:val="en-US"/>
        </w:rPr>
      </w:pPr>
    </w:p>
    <w:p w14:paraId="4373B7F2" w14:textId="48454333" w:rsidR="00095078" w:rsidRDefault="00645F52" w:rsidP="00B4091E">
      <w:pPr>
        <w:pStyle w:val="Default"/>
        <w:jc w:val="both"/>
        <w:rPr>
          <w:rFonts w:cs="Arial"/>
          <w:sz w:val="22"/>
          <w:szCs w:val="22"/>
          <w:lang w:val="en-US"/>
        </w:rPr>
      </w:pPr>
      <w:r>
        <w:rPr>
          <w:rFonts w:cs="Arial"/>
          <w:sz w:val="22"/>
          <w:szCs w:val="22"/>
          <w:lang w:val="en-US"/>
        </w:rPr>
        <w:t xml:space="preserve">The holes were drilled at an angle </w:t>
      </w:r>
      <w:r w:rsidR="00F13922">
        <w:rPr>
          <w:rFonts w:cs="Arial"/>
          <w:sz w:val="22"/>
          <w:szCs w:val="22"/>
          <w:lang w:val="en-US"/>
        </w:rPr>
        <w:t xml:space="preserve">from hanging wall side of the graben </w:t>
      </w:r>
      <w:r w:rsidR="00095078">
        <w:rPr>
          <w:rFonts w:cs="Arial"/>
          <w:sz w:val="22"/>
          <w:szCs w:val="22"/>
          <w:lang w:val="en-US"/>
        </w:rPr>
        <w:t xml:space="preserve">to intersect </w:t>
      </w:r>
      <w:r w:rsidR="00AC4B35">
        <w:rPr>
          <w:rFonts w:cs="Arial"/>
          <w:sz w:val="22"/>
          <w:szCs w:val="22"/>
          <w:lang w:val="en-US"/>
        </w:rPr>
        <w:t>the Flank Zone (see attached drawing).</w:t>
      </w:r>
      <w:r w:rsidR="00901A1E">
        <w:rPr>
          <w:rFonts w:cs="Arial"/>
          <w:sz w:val="22"/>
          <w:szCs w:val="22"/>
          <w:lang w:val="en-US"/>
        </w:rPr>
        <w:br/>
      </w:r>
    </w:p>
    <w:p w14:paraId="34BAC506" w14:textId="23EF3481" w:rsidR="007A31D0" w:rsidRPr="00901A1E" w:rsidRDefault="007A31D0" w:rsidP="00901A1E">
      <w:pPr>
        <w:jc w:val="center"/>
        <w:textAlignment w:val="baseline"/>
        <w:rPr>
          <w:rFonts w:cs="Arial"/>
          <w:b/>
        </w:rPr>
      </w:pPr>
      <w:r w:rsidRPr="00FF428A">
        <w:rPr>
          <w:rFonts w:cs="Arial"/>
          <w:b/>
        </w:rPr>
        <w:t>3D Model : DASA</w:t>
      </w:r>
      <w:r>
        <w:rPr>
          <w:rFonts w:cs="Arial"/>
          <w:b/>
        </w:rPr>
        <w:t xml:space="preserve"> </w:t>
      </w:r>
      <w:r w:rsidRPr="00FF428A">
        <w:rPr>
          <w:rFonts w:cs="Arial"/>
          <w:b/>
        </w:rPr>
        <w:t>Open Pit and Underground Resources Model</w:t>
      </w:r>
      <w:r>
        <w:rPr>
          <w:rFonts w:cs="Arial"/>
          <w:b/>
        </w:rPr>
        <w:t xml:space="preserve"> With Planned Drilling</w:t>
      </w:r>
      <w:r w:rsidR="00901A1E">
        <w:rPr>
          <w:rFonts w:cs="Arial"/>
          <w:b/>
          <w:noProof/>
          <w:lang w:val="en-US"/>
        </w:rPr>
        <w:drawing>
          <wp:inline distT="0" distB="0" distL="0" distR="0" wp14:anchorId="4464095A" wp14:editId="1705DD2F">
            <wp:extent cx="4286992" cy="2515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728" cy="2526027"/>
                    </a:xfrm>
                    <a:prstGeom prst="rect">
                      <a:avLst/>
                    </a:prstGeom>
                    <a:noFill/>
                  </pic:spPr>
                </pic:pic>
              </a:graphicData>
            </a:graphic>
          </wp:inline>
        </w:drawing>
      </w:r>
    </w:p>
    <w:p w14:paraId="49FD2392" w14:textId="77777777" w:rsidR="007A31D0" w:rsidRDefault="007A31D0" w:rsidP="00B4091E">
      <w:pPr>
        <w:pStyle w:val="Default"/>
        <w:jc w:val="both"/>
        <w:rPr>
          <w:rFonts w:cs="Arial"/>
          <w:sz w:val="22"/>
          <w:szCs w:val="22"/>
          <w:lang w:val="en-US"/>
        </w:rPr>
      </w:pPr>
    </w:p>
    <w:p w14:paraId="31DDA5F4" w14:textId="06E99173" w:rsidR="00095078" w:rsidRDefault="00095078" w:rsidP="00B4091E">
      <w:pPr>
        <w:pStyle w:val="Default"/>
        <w:jc w:val="both"/>
        <w:rPr>
          <w:rFonts w:cs="Arial"/>
          <w:sz w:val="22"/>
          <w:szCs w:val="22"/>
          <w:lang w:val="en-US"/>
        </w:rPr>
      </w:pPr>
      <w:r>
        <w:rPr>
          <w:rFonts w:cs="Arial"/>
          <w:sz w:val="22"/>
          <w:szCs w:val="22"/>
          <w:lang w:val="en-US"/>
        </w:rPr>
        <w:lastRenderedPageBreak/>
        <w:t xml:space="preserve">The first two holes have been completed and probed with </w:t>
      </w:r>
      <w:r w:rsidR="00AC4B35">
        <w:rPr>
          <w:rFonts w:cs="Arial"/>
          <w:sz w:val="22"/>
          <w:szCs w:val="22"/>
          <w:lang w:val="en-US"/>
        </w:rPr>
        <w:t xml:space="preserve">a </w:t>
      </w:r>
      <w:r>
        <w:rPr>
          <w:rFonts w:cs="Arial"/>
          <w:sz w:val="22"/>
          <w:szCs w:val="22"/>
          <w:lang w:val="en-US"/>
        </w:rPr>
        <w:t xml:space="preserve">Gamma Probe.  The probe measured significant mineralized intervals with wide “offscale” </w:t>
      </w:r>
      <w:r w:rsidR="00AC4B35">
        <w:rPr>
          <w:rFonts w:cs="Arial"/>
          <w:sz w:val="22"/>
          <w:szCs w:val="22"/>
          <w:lang w:val="en-US"/>
        </w:rPr>
        <w:t xml:space="preserve">(plus 1%) </w:t>
      </w:r>
      <w:r>
        <w:rPr>
          <w:rFonts w:cs="Arial"/>
          <w:sz w:val="22"/>
          <w:szCs w:val="22"/>
          <w:lang w:val="en-US"/>
        </w:rPr>
        <w:t>sections in each hole.  A “Gieger-Muller</w:t>
      </w:r>
      <w:r w:rsidR="00AC4B35">
        <w:rPr>
          <w:rFonts w:cs="Arial"/>
          <w:sz w:val="22"/>
          <w:szCs w:val="22"/>
          <w:lang w:val="en-US"/>
        </w:rPr>
        <w:t>”</w:t>
      </w:r>
      <w:r>
        <w:rPr>
          <w:rFonts w:cs="Arial"/>
          <w:sz w:val="22"/>
          <w:szCs w:val="22"/>
          <w:lang w:val="en-US"/>
        </w:rPr>
        <w:t xml:space="preserve"> (GM) probe was utilized over the offscale sections and a calculation estimate of grade is being reported in this press release prior to final grade determination through chemical assay.</w:t>
      </w:r>
    </w:p>
    <w:p w14:paraId="45C0FBE9" w14:textId="178CEE17" w:rsidR="00095078" w:rsidRDefault="00095078" w:rsidP="00B4091E">
      <w:pPr>
        <w:pStyle w:val="Default"/>
        <w:jc w:val="both"/>
        <w:rPr>
          <w:rFonts w:cs="Arial"/>
          <w:sz w:val="22"/>
          <w:szCs w:val="22"/>
          <w:lang w:val="en-US"/>
        </w:rPr>
      </w:pPr>
    </w:p>
    <w:p w14:paraId="1496B708" w14:textId="3FD02366" w:rsidR="00095078" w:rsidRDefault="00095078" w:rsidP="00B4091E">
      <w:pPr>
        <w:pStyle w:val="Default"/>
        <w:jc w:val="both"/>
        <w:rPr>
          <w:rFonts w:cs="Arial"/>
          <w:sz w:val="22"/>
          <w:szCs w:val="22"/>
          <w:lang w:val="en-US"/>
        </w:rPr>
      </w:pPr>
      <w:r>
        <w:rPr>
          <w:rFonts w:cs="Arial"/>
          <w:sz w:val="22"/>
          <w:szCs w:val="22"/>
          <w:lang w:val="en-US"/>
        </w:rPr>
        <w:t xml:space="preserve">Global Atomic will complete significant drilling in this area over the next six months in order to develop a mine plan and complete a technical report </w:t>
      </w:r>
      <w:r w:rsidR="00AC4B35">
        <w:rPr>
          <w:rFonts w:cs="Arial"/>
          <w:sz w:val="22"/>
          <w:szCs w:val="22"/>
          <w:lang w:val="en-US"/>
        </w:rPr>
        <w:t>to</w:t>
      </w:r>
      <w:r>
        <w:rPr>
          <w:rFonts w:cs="Arial"/>
          <w:sz w:val="22"/>
          <w:szCs w:val="22"/>
          <w:lang w:val="en-US"/>
        </w:rPr>
        <w:t xml:space="preserve"> support a mining operation</w:t>
      </w:r>
      <w:r w:rsidR="00AC4B35">
        <w:rPr>
          <w:rFonts w:cs="Arial"/>
          <w:sz w:val="22"/>
          <w:szCs w:val="22"/>
          <w:lang w:val="en-US"/>
        </w:rPr>
        <w:t xml:space="preserve"> intending</w:t>
      </w:r>
      <w:r>
        <w:rPr>
          <w:rFonts w:cs="Arial"/>
          <w:sz w:val="22"/>
          <w:szCs w:val="22"/>
          <w:lang w:val="en-US"/>
        </w:rPr>
        <w:t xml:space="preserve"> to ship mineralized rock to ORANO (formerly knows as AREVA Mines), 80 kilometers north of the DASA Project</w:t>
      </w:r>
      <w:r w:rsidR="00AC4B35">
        <w:rPr>
          <w:rFonts w:cs="Arial"/>
          <w:sz w:val="22"/>
          <w:szCs w:val="22"/>
          <w:lang w:val="en-US"/>
        </w:rPr>
        <w:t xml:space="preserve"> under the Company’s Ore Sales Agreement</w:t>
      </w:r>
      <w:r>
        <w:rPr>
          <w:rFonts w:cs="Arial"/>
          <w:sz w:val="22"/>
          <w:szCs w:val="22"/>
          <w:lang w:val="en-US"/>
        </w:rPr>
        <w:t>.</w:t>
      </w:r>
    </w:p>
    <w:p w14:paraId="51957F6F" w14:textId="0B73AB3F" w:rsidR="00FA2053" w:rsidRDefault="00FA2053" w:rsidP="00B4091E">
      <w:pPr>
        <w:pStyle w:val="Default"/>
        <w:jc w:val="both"/>
        <w:rPr>
          <w:rFonts w:cs="Arial"/>
          <w:sz w:val="22"/>
          <w:szCs w:val="22"/>
          <w:lang w:val="en-US"/>
        </w:rPr>
      </w:pPr>
    </w:p>
    <w:p w14:paraId="398656EA" w14:textId="144121D2" w:rsidR="00B4091E" w:rsidRPr="00DD50C5" w:rsidRDefault="00B4091E" w:rsidP="00B37E2B">
      <w:pPr>
        <w:spacing w:after="0"/>
        <w:jc w:val="both"/>
        <w:rPr>
          <w:rFonts w:ascii="Calibri" w:hAnsi="Calibri" w:cs="Calibri"/>
          <w:b/>
          <w:bCs/>
          <w:color w:val="000000"/>
        </w:rPr>
      </w:pPr>
      <w:r>
        <w:rPr>
          <w:b/>
          <w:bCs/>
        </w:rPr>
        <w:t xml:space="preserve">QP Statement </w:t>
      </w:r>
    </w:p>
    <w:p w14:paraId="71C12ED7" w14:textId="31F48495" w:rsidR="00B4091E" w:rsidRDefault="00B4091E" w:rsidP="00B37E2B">
      <w:pPr>
        <w:spacing w:after="0" w:line="240" w:lineRule="auto"/>
        <w:jc w:val="both"/>
      </w:pPr>
      <w:r>
        <w:t xml:space="preserve">Mr. George A. Flach, P.Geo., Vice President of Exploration, has reviewed this press release as the Qualified Person (QP) as defined in National Instrument 43-101. </w:t>
      </w:r>
    </w:p>
    <w:p w14:paraId="1B2ED429" w14:textId="77777777" w:rsidR="00B4091E" w:rsidRDefault="00B4091E" w:rsidP="00B37E2B">
      <w:pPr>
        <w:spacing w:after="0" w:line="240" w:lineRule="auto"/>
        <w:jc w:val="both"/>
      </w:pPr>
    </w:p>
    <w:p w14:paraId="123B9FEE" w14:textId="413BCEDC" w:rsidR="00F70539" w:rsidRDefault="00B4091E" w:rsidP="00B37E2B">
      <w:pPr>
        <w:spacing w:after="0" w:line="240" w:lineRule="auto"/>
        <w:jc w:val="both"/>
        <w:rPr>
          <w:rFonts w:cs="Arial"/>
          <w:b/>
        </w:rPr>
      </w:pPr>
      <w:r w:rsidRPr="001B0CBC">
        <w:rPr>
          <w:rFonts w:cs="Arial"/>
          <w:b/>
        </w:rPr>
        <w:t xml:space="preserve">About Global Atomic </w:t>
      </w:r>
    </w:p>
    <w:p w14:paraId="7B8B070A" w14:textId="25515C54" w:rsidR="00A725FC" w:rsidRDefault="00F70539" w:rsidP="00B37E2B">
      <w:pPr>
        <w:spacing w:after="0" w:line="240" w:lineRule="auto"/>
        <w:jc w:val="both"/>
        <w:rPr>
          <w:lang w:val="en-GB"/>
        </w:rPr>
      </w:pPr>
      <w:r w:rsidRPr="00F66630">
        <w:rPr>
          <w:rFonts w:cs="Arial"/>
        </w:rPr>
        <w:t xml:space="preserve">Global Atomic is a </w:t>
      </w:r>
      <w:r w:rsidR="00A725FC">
        <w:rPr>
          <w:rFonts w:cs="Arial"/>
        </w:rPr>
        <w:t xml:space="preserve">TSX Venture </w:t>
      </w:r>
      <w:r w:rsidR="00D15185">
        <w:rPr>
          <w:rFonts w:cs="Arial"/>
        </w:rPr>
        <w:t xml:space="preserve">listed company </w:t>
      </w:r>
      <w:r w:rsidR="00022767">
        <w:rPr>
          <w:rFonts w:cs="Arial"/>
        </w:rPr>
        <w:t>providing a unique combination of high grade uranium development and cash flowing zinc concentrate production</w:t>
      </w:r>
      <w:r w:rsidR="00A725FC">
        <w:rPr>
          <w:rFonts w:cs="Arial"/>
        </w:rPr>
        <w:t xml:space="preserve">.  Global Atomic’s </w:t>
      </w:r>
      <w:r w:rsidR="00D15185">
        <w:rPr>
          <w:rFonts w:cs="Arial"/>
        </w:rPr>
        <w:t xml:space="preserve">Uranium Division includes </w:t>
      </w:r>
      <w:r w:rsidRPr="00F66630">
        <w:rPr>
          <w:lang w:val="en-GB"/>
        </w:rPr>
        <w:t xml:space="preserve">six </w:t>
      </w:r>
      <w:r w:rsidR="00A725FC">
        <w:rPr>
          <w:lang w:val="en-GB"/>
        </w:rPr>
        <w:t xml:space="preserve">exploration </w:t>
      </w:r>
      <w:r w:rsidRPr="00F66630">
        <w:rPr>
          <w:lang w:val="en-GB"/>
        </w:rPr>
        <w:t>permits in the Republic of Niger covering an area of approximately 750 km</w:t>
      </w:r>
      <w:r w:rsidRPr="00F66630">
        <w:rPr>
          <w:vertAlign w:val="superscript"/>
          <w:lang w:val="en-GB"/>
        </w:rPr>
        <w:t>2</w:t>
      </w:r>
      <w:r w:rsidR="00D15185">
        <w:rPr>
          <w:lang w:val="en-GB"/>
        </w:rPr>
        <w:t xml:space="preserve">.  </w:t>
      </w:r>
      <w:r w:rsidR="00A725FC">
        <w:rPr>
          <w:lang w:val="en-GB"/>
        </w:rPr>
        <w:t xml:space="preserve">Uranium mineralization has been identified on each of the permits, with the </w:t>
      </w:r>
      <w:r w:rsidRPr="00F66630">
        <w:rPr>
          <w:lang w:val="en-GB"/>
        </w:rPr>
        <w:t xml:space="preserve">most significant </w:t>
      </w:r>
      <w:r w:rsidR="00A725FC">
        <w:rPr>
          <w:lang w:val="en-GB"/>
        </w:rPr>
        <w:t xml:space="preserve">discovery being the </w:t>
      </w:r>
      <w:r w:rsidRPr="00F66630">
        <w:rPr>
          <w:lang w:val="en-GB"/>
        </w:rPr>
        <w:t>DASA deposit</w:t>
      </w:r>
      <w:r w:rsidR="001133BD">
        <w:rPr>
          <w:lang w:val="en-GB"/>
        </w:rPr>
        <w:t xml:space="preserve"> situated on the Adrar Emoles III concession</w:t>
      </w:r>
      <w:r w:rsidR="00A725FC">
        <w:rPr>
          <w:lang w:val="en-GB"/>
        </w:rPr>
        <w:t xml:space="preserve">, </w:t>
      </w:r>
      <w:r>
        <w:rPr>
          <w:lang w:val="en-GB"/>
        </w:rPr>
        <w:t xml:space="preserve">discovered in 2010 </w:t>
      </w:r>
      <w:r w:rsidR="00A725FC">
        <w:rPr>
          <w:lang w:val="en-GB"/>
        </w:rPr>
        <w:t xml:space="preserve">by Global Atomic </w:t>
      </w:r>
      <w:r w:rsidR="00940942">
        <w:rPr>
          <w:lang w:val="en-GB"/>
        </w:rPr>
        <w:t xml:space="preserve">geologists </w:t>
      </w:r>
      <w:r>
        <w:rPr>
          <w:lang w:val="en-GB"/>
        </w:rPr>
        <w:t>through grassroots field</w:t>
      </w:r>
      <w:r w:rsidR="00A725FC">
        <w:rPr>
          <w:lang w:val="en-GB"/>
        </w:rPr>
        <w:t xml:space="preserve"> exploration</w:t>
      </w:r>
      <w:r w:rsidR="001133BD">
        <w:rPr>
          <w:lang w:val="en-GB"/>
        </w:rPr>
        <w:t>.</w:t>
      </w:r>
      <w:r w:rsidR="001F6A10">
        <w:rPr>
          <w:lang w:val="en-GB"/>
        </w:rPr>
        <w:t xml:space="preserve"> </w:t>
      </w:r>
    </w:p>
    <w:p w14:paraId="39D40E0C" w14:textId="77777777" w:rsidR="00A725FC" w:rsidRDefault="00A725FC" w:rsidP="00B37E2B">
      <w:pPr>
        <w:spacing w:after="0" w:line="240" w:lineRule="auto"/>
        <w:jc w:val="both"/>
        <w:rPr>
          <w:lang w:val="en-GB"/>
        </w:rPr>
      </w:pPr>
    </w:p>
    <w:p w14:paraId="11F51317" w14:textId="6F289AA6" w:rsidR="00A725FC" w:rsidRPr="00A725FC" w:rsidRDefault="00005C31" w:rsidP="00B37E2B">
      <w:pPr>
        <w:spacing w:after="0" w:line="240" w:lineRule="auto"/>
        <w:jc w:val="both"/>
        <w:rPr>
          <w:b/>
        </w:rPr>
      </w:pPr>
      <w:r>
        <w:t>I</w:t>
      </w:r>
      <w:r w:rsidR="00A725FC" w:rsidRPr="00A725FC">
        <w:t xml:space="preserve">n a technical report dated July 31, 2017, </w:t>
      </w:r>
      <w:r w:rsidR="00940942">
        <w:t xml:space="preserve">Perth, Australia based </w:t>
      </w:r>
      <w:r w:rsidR="00A725FC" w:rsidRPr="00A725FC">
        <w:t>CSA Global Pty Ltd (“</w:t>
      </w:r>
      <w:r w:rsidR="00A725FC" w:rsidRPr="00A725FC">
        <w:rPr>
          <w:b/>
        </w:rPr>
        <w:t>CSA</w:t>
      </w:r>
      <w:r w:rsidR="00A725FC" w:rsidRPr="00A725FC">
        <w:t xml:space="preserve">”) estimated the mineral resources for DASA </w:t>
      </w:r>
      <w:r w:rsidR="00CC2E28">
        <w:t>as follows</w:t>
      </w:r>
      <w:r w:rsidR="00A725FC" w:rsidRPr="00A725FC">
        <w:t>:</w:t>
      </w:r>
    </w:p>
    <w:p w14:paraId="01EA18AD" w14:textId="77777777" w:rsidR="00A725FC" w:rsidRPr="00A725FC" w:rsidRDefault="00A725FC" w:rsidP="00A725FC">
      <w:pPr>
        <w:spacing w:after="0" w:line="240" w:lineRule="auto"/>
        <w:jc w:val="both"/>
      </w:pPr>
    </w:p>
    <w:tbl>
      <w:tblPr>
        <w:tblStyle w:val="TableGrid"/>
        <w:tblW w:w="6839" w:type="dxa"/>
        <w:jc w:val="center"/>
        <w:tblLook w:val="04A0" w:firstRow="1" w:lastRow="0" w:firstColumn="1" w:lastColumn="0" w:noHBand="0" w:noVBand="1"/>
      </w:tblPr>
      <w:tblGrid>
        <w:gridCol w:w="1709"/>
        <w:gridCol w:w="1710"/>
        <w:gridCol w:w="1710"/>
        <w:gridCol w:w="1710"/>
      </w:tblGrid>
      <w:tr w:rsidR="00A725FC" w:rsidRPr="00A725FC" w14:paraId="752D5CF4" w14:textId="77777777" w:rsidTr="00BC1767">
        <w:trPr>
          <w:trHeight w:val="522"/>
          <w:jc w:val="center"/>
        </w:trPr>
        <w:tc>
          <w:tcPr>
            <w:tcW w:w="1709" w:type="dxa"/>
          </w:tcPr>
          <w:p w14:paraId="0CC1449F" w14:textId="77777777" w:rsidR="00A725FC" w:rsidRPr="00A725FC" w:rsidRDefault="00A725FC" w:rsidP="00A725FC">
            <w:pPr>
              <w:jc w:val="both"/>
            </w:pPr>
          </w:p>
        </w:tc>
        <w:tc>
          <w:tcPr>
            <w:tcW w:w="1710" w:type="dxa"/>
          </w:tcPr>
          <w:p w14:paraId="6D723BD6" w14:textId="77777777" w:rsidR="00A725FC" w:rsidRPr="00A725FC" w:rsidRDefault="00A725FC" w:rsidP="00674A8B">
            <w:pPr>
              <w:jc w:val="center"/>
            </w:pPr>
            <w:r w:rsidRPr="00A725FC">
              <w:t>Tonnes</w:t>
            </w:r>
          </w:p>
          <w:p w14:paraId="526E7ACA" w14:textId="77777777" w:rsidR="00A725FC" w:rsidRPr="00A725FC" w:rsidRDefault="00A725FC" w:rsidP="00674A8B">
            <w:pPr>
              <w:jc w:val="center"/>
            </w:pPr>
            <w:r w:rsidRPr="00A725FC">
              <w:t>(millions)</w:t>
            </w:r>
          </w:p>
        </w:tc>
        <w:tc>
          <w:tcPr>
            <w:tcW w:w="1710" w:type="dxa"/>
          </w:tcPr>
          <w:p w14:paraId="73698440" w14:textId="5BA87430" w:rsidR="00A725FC" w:rsidRPr="00A725FC" w:rsidRDefault="00CC2E28" w:rsidP="00674A8B">
            <w:pPr>
              <w:jc w:val="center"/>
            </w:pPr>
            <w:r>
              <w:t>U</w:t>
            </w:r>
            <w:r w:rsidRPr="005F725E">
              <w:rPr>
                <w:vertAlign w:val="subscript"/>
              </w:rPr>
              <w:t>3</w:t>
            </w:r>
            <w:r>
              <w:t>O</w:t>
            </w:r>
            <w:r w:rsidRPr="005F725E">
              <w:rPr>
                <w:vertAlign w:val="subscript"/>
              </w:rPr>
              <w:t>8</w:t>
            </w:r>
          </w:p>
          <w:p w14:paraId="32038888" w14:textId="77777777" w:rsidR="00A725FC" w:rsidRPr="00A725FC" w:rsidRDefault="00A725FC" w:rsidP="00674A8B">
            <w:pPr>
              <w:jc w:val="center"/>
            </w:pPr>
            <w:r w:rsidRPr="00A725FC">
              <w:t>(ppm)</w:t>
            </w:r>
          </w:p>
        </w:tc>
        <w:tc>
          <w:tcPr>
            <w:tcW w:w="1710" w:type="dxa"/>
          </w:tcPr>
          <w:p w14:paraId="4C9997DB" w14:textId="6A768FA4" w:rsidR="00A725FC" w:rsidRPr="00A725FC" w:rsidRDefault="00CC2E28" w:rsidP="00674A8B">
            <w:pPr>
              <w:jc w:val="center"/>
            </w:pPr>
            <w:r>
              <w:t>U</w:t>
            </w:r>
            <w:r w:rsidRPr="005F725E">
              <w:rPr>
                <w:vertAlign w:val="subscript"/>
              </w:rPr>
              <w:t>3</w:t>
            </w:r>
            <w:r>
              <w:t>O</w:t>
            </w:r>
            <w:r w:rsidRPr="005F725E">
              <w:rPr>
                <w:vertAlign w:val="subscript"/>
              </w:rPr>
              <w:t>8</w:t>
            </w:r>
          </w:p>
          <w:p w14:paraId="3B638D37" w14:textId="77777777" w:rsidR="00A725FC" w:rsidRPr="00A725FC" w:rsidRDefault="00A725FC" w:rsidP="00674A8B">
            <w:pPr>
              <w:jc w:val="center"/>
            </w:pPr>
            <w:r w:rsidRPr="00A725FC">
              <w:t>(million lbs)</w:t>
            </w:r>
          </w:p>
        </w:tc>
      </w:tr>
      <w:tr w:rsidR="00A725FC" w:rsidRPr="00A725FC" w14:paraId="5C8A4903" w14:textId="77777777" w:rsidTr="00BC1767">
        <w:trPr>
          <w:trHeight w:val="261"/>
          <w:jc w:val="center"/>
        </w:trPr>
        <w:tc>
          <w:tcPr>
            <w:tcW w:w="1709" w:type="dxa"/>
          </w:tcPr>
          <w:p w14:paraId="03B2F9B6" w14:textId="77777777" w:rsidR="00A725FC" w:rsidRPr="00A725FC" w:rsidRDefault="00A725FC" w:rsidP="00A725FC">
            <w:pPr>
              <w:jc w:val="both"/>
            </w:pPr>
            <w:r w:rsidRPr="00A725FC">
              <w:t>Indicated</w:t>
            </w:r>
          </w:p>
        </w:tc>
        <w:tc>
          <w:tcPr>
            <w:tcW w:w="1710" w:type="dxa"/>
          </w:tcPr>
          <w:p w14:paraId="04226A53" w14:textId="77777777" w:rsidR="00A725FC" w:rsidRPr="00A725FC" w:rsidRDefault="00A725FC" w:rsidP="00674A8B">
            <w:pPr>
              <w:jc w:val="center"/>
            </w:pPr>
            <w:r w:rsidRPr="00A725FC">
              <w:t>3.7</w:t>
            </w:r>
          </w:p>
        </w:tc>
        <w:tc>
          <w:tcPr>
            <w:tcW w:w="1710" w:type="dxa"/>
          </w:tcPr>
          <w:p w14:paraId="3755B643" w14:textId="77777777" w:rsidR="00A725FC" w:rsidRPr="00A725FC" w:rsidRDefault="00A725FC" w:rsidP="00674A8B">
            <w:pPr>
              <w:jc w:val="center"/>
            </w:pPr>
            <w:r w:rsidRPr="00A725FC">
              <w:t>2,608</w:t>
            </w:r>
          </w:p>
        </w:tc>
        <w:tc>
          <w:tcPr>
            <w:tcW w:w="1710" w:type="dxa"/>
          </w:tcPr>
          <w:p w14:paraId="6E3E0673" w14:textId="77777777" w:rsidR="00A725FC" w:rsidRPr="00A725FC" w:rsidRDefault="00A725FC" w:rsidP="00674A8B">
            <w:pPr>
              <w:jc w:val="center"/>
            </w:pPr>
            <w:r w:rsidRPr="00A725FC">
              <w:t>21.4</w:t>
            </w:r>
          </w:p>
        </w:tc>
      </w:tr>
      <w:tr w:rsidR="00A725FC" w:rsidRPr="00A725FC" w14:paraId="09CC3EEA" w14:textId="77777777" w:rsidTr="00BC1767">
        <w:trPr>
          <w:trHeight w:val="261"/>
          <w:jc w:val="center"/>
        </w:trPr>
        <w:tc>
          <w:tcPr>
            <w:tcW w:w="1709" w:type="dxa"/>
          </w:tcPr>
          <w:p w14:paraId="401FCCD6" w14:textId="77777777" w:rsidR="00A725FC" w:rsidRPr="00A725FC" w:rsidRDefault="00A725FC" w:rsidP="00A725FC">
            <w:pPr>
              <w:jc w:val="both"/>
            </w:pPr>
            <w:r w:rsidRPr="00A725FC">
              <w:t>Inferred</w:t>
            </w:r>
          </w:p>
        </w:tc>
        <w:tc>
          <w:tcPr>
            <w:tcW w:w="1710" w:type="dxa"/>
          </w:tcPr>
          <w:p w14:paraId="1F01F1EE" w14:textId="77777777" w:rsidR="00A725FC" w:rsidRPr="00A725FC" w:rsidRDefault="00A725FC" w:rsidP="00674A8B">
            <w:pPr>
              <w:jc w:val="center"/>
            </w:pPr>
            <w:r w:rsidRPr="00A725FC">
              <w:t>7.7</w:t>
            </w:r>
          </w:p>
        </w:tc>
        <w:tc>
          <w:tcPr>
            <w:tcW w:w="1710" w:type="dxa"/>
          </w:tcPr>
          <w:p w14:paraId="28AAF62D" w14:textId="77777777" w:rsidR="00A725FC" w:rsidRPr="00A725FC" w:rsidRDefault="00A725FC" w:rsidP="00674A8B">
            <w:pPr>
              <w:jc w:val="center"/>
            </w:pPr>
            <w:r w:rsidRPr="00A725FC">
              <w:t>2,954</w:t>
            </w:r>
          </w:p>
        </w:tc>
        <w:tc>
          <w:tcPr>
            <w:tcW w:w="1710" w:type="dxa"/>
          </w:tcPr>
          <w:p w14:paraId="41B2F776" w14:textId="77777777" w:rsidR="00A725FC" w:rsidRPr="00A725FC" w:rsidRDefault="00A725FC" w:rsidP="00674A8B">
            <w:pPr>
              <w:jc w:val="center"/>
            </w:pPr>
            <w:r w:rsidRPr="00A725FC">
              <w:t>49.8</w:t>
            </w:r>
          </w:p>
        </w:tc>
      </w:tr>
    </w:tbl>
    <w:p w14:paraId="7B9650B3" w14:textId="77777777" w:rsidR="00A725FC" w:rsidRPr="00A725FC" w:rsidRDefault="00A725FC" w:rsidP="00A725FC">
      <w:pPr>
        <w:spacing w:after="0" w:line="240" w:lineRule="auto"/>
        <w:jc w:val="both"/>
      </w:pPr>
    </w:p>
    <w:p w14:paraId="50A2DDFC" w14:textId="77777777" w:rsidR="00A725FC" w:rsidRPr="00A725FC" w:rsidRDefault="00A725FC" w:rsidP="00A725FC">
      <w:pPr>
        <w:spacing w:after="0" w:line="240" w:lineRule="auto"/>
        <w:jc w:val="both"/>
        <w:rPr>
          <w:i/>
        </w:rPr>
      </w:pPr>
      <w:r w:rsidRPr="00A725FC">
        <w:rPr>
          <w:i/>
        </w:rPr>
        <w:t>CSA estimated the mineral resource based on a cutoff grade of 1,200 ppm</w:t>
      </w:r>
    </w:p>
    <w:p w14:paraId="132AE93C" w14:textId="77777777" w:rsidR="00A725FC" w:rsidRPr="00A725FC" w:rsidRDefault="00A725FC" w:rsidP="00A725FC">
      <w:pPr>
        <w:spacing w:after="0" w:line="240" w:lineRule="auto"/>
        <w:jc w:val="both"/>
      </w:pPr>
    </w:p>
    <w:p w14:paraId="4B8F5525" w14:textId="0B0CBF39" w:rsidR="001F6A10" w:rsidRDefault="00D15185" w:rsidP="001F6A10">
      <w:pPr>
        <w:spacing w:after="0" w:line="240" w:lineRule="auto"/>
        <w:jc w:val="both"/>
        <w:rPr>
          <w:lang w:val="en-GB"/>
        </w:rPr>
      </w:pPr>
      <w:r>
        <w:rPr>
          <w:lang w:val="en-GB"/>
        </w:rPr>
        <w:t xml:space="preserve">Global Atomic’s Base Metals Division </w:t>
      </w:r>
      <w:r w:rsidR="00A725FC">
        <w:rPr>
          <w:lang w:val="en-GB"/>
        </w:rPr>
        <w:t xml:space="preserve">holds a 49% interest </w:t>
      </w:r>
      <w:r>
        <w:rPr>
          <w:lang w:val="en-GB"/>
        </w:rPr>
        <w:t xml:space="preserve">in the </w:t>
      </w:r>
      <w:r w:rsidR="00674A8B">
        <w:rPr>
          <w:lang w:val="en-GB"/>
        </w:rPr>
        <w:t>BST joint venture, operating a facility located in I</w:t>
      </w:r>
      <w:r w:rsidR="00940942">
        <w:rPr>
          <w:lang w:val="en-GB"/>
        </w:rPr>
        <w:t>s</w:t>
      </w:r>
      <w:r w:rsidR="00674A8B">
        <w:rPr>
          <w:lang w:val="en-GB"/>
        </w:rPr>
        <w:t>kenderun, Turkey that converts EAFD</w:t>
      </w:r>
      <w:r w:rsidR="00AC4B35">
        <w:rPr>
          <w:lang w:val="en-GB"/>
        </w:rPr>
        <w:t xml:space="preserve"> (Electric Arc Furnace Dust)</w:t>
      </w:r>
      <w:r w:rsidR="00674A8B">
        <w:rPr>
          <w:lang w:val="en-GB"/>
        </w:rPr>
        <w:t xml:space="preserve"> into a high grade zinc oxide concentrate </w:t>
      </w:r>
      <w:r w:rsidR="001F6A10">
        <w:rPr>
          <w:lang w:val="en-GB"/>
        </w:rPr>
        <w:t xml:space="preserve">which is </w:t>
      </w:r>
      <w:r w:rsidR="00674A8B">
        <w:rPr>
          <w:lang w:val="en-GB"/>
        </w:rPr>
        <w:t xml:space="preserve">sold to zinc </w:t>
      </w:r>
      <w:r w:rsidR="00E431DF">
        <w:rPr>
          <w:lang w:val="en-GB"/>
        </w:rPr>
        <w:t xml:space="preserve">smelters </w:t>
      </w:r>
      <w:r w:rsidR="003D3C46">
        <w:rPr>
          <w:lang w:val="en-GB"/>
        </w:rPr>
        <w:t>around</w:t>
      </w:r>
      <w:r w:rsidR="00E431DF">
        <w:rPr>
          <w:lang w:val="en-GB"/>
        </w:rPr>
        <w:t xml:space="preserve"> the world. </w:t>
      </w:r>
      <w:r w:rsidR="001F6A10">
        <w:rPr>
          <w:lang w:val="en-GB"/>
        </w:rPr>
        <w:t xml:space="preserve"> </w:t>
      </w:r>
      <w:r>
        <w:rPr>
          <w:lang w:val="en-GB"/>
        </w:rPr>
        <w:t xml:space="preserve">The Company’s </w:t>
      </w:r>
      <w:r w:rsidR="001F6A10">
        <w:rPr>
          <w:lang w:val="en-GB"/>
        </w:rPr>
        <w:t>joint venture partner, Befesa Zinc S.A.U. (“Befesa”), holds a 51% interest</w:t>
      </w:r>
      <w:r>
        <w:rPr>
          <w:lang w:val="en-GB"/>
        </w:rPr>
        <w:t xml:space="preserve"> </w:t>
      </w:r>
      <w:r w:rsidR="001F6A10">
        <w:rPr>
          <w:lang w:val="en-GB"/>
        </w:rPr>
        <w:t>in and is the operator of BST.  Befesa is a market leader in EAFD recycling, capturing approximately 45% to 50% of European EAFD market with facilities located throughout Europe and Korea.</w:t>
      </w:r>
    </w:p>
    <w:p w14:paraId="015CD13E" w14:textId="77777777" w:rsidR="00E07B67" w:rsidRDefault="00E07B67" w:rsidP="00F70539">
      <w:pPr>
        <w:spacing w:after="0" w:line="240" w:lineRule="auto"/>
        <w:jc w:val="both"/>
        <w:rPr>
          <w:lang w:val="en-GB"/>
        </w:rPr>
      </w:pPr>
    </w:p>
    <w:p w14:paraId="21DB6420" w14:textId="65570C41" w:rsidR="00B4091E" w:rsidRPr="000E3B44" w:rsidRDefault="000E3B44" w:rsidP="000E3B44">
      <w:pPr>
        <w:spacing w:line="240" w:lineRule="auto"/>
        <w:rPr>
          <w:rFonts w:cs="Arial"/>
          <w:b/>
          <w:color w:val="002060"/>
        </w:rPr>
      </w:pPr>
      <w:r w:rsidRPr="000E3B44">
        <w:rPr>
          <w:rFonts w:cs="Arial"/>
          <w:b/>
          <w:color w:val="002060"/>
        </w:rPr>
        <w:t xml:space="preserve">Our website has been updated! </w:t>
      </w:r>
      <w:r w:rsidR="009D4458" w:rsidRPr="000E3B44">
        <w:rPr>
          <w:rFonts w:cs="Arial"/>
          <w:b/>
          <w:color w:val="002060"/>
        </w:rPr>
        <w:t xml:space="preserve">Please visit </w:t>
      </w:r>
      <w:hyperlink r:id="rId9" w:history="1">
        <w:r w:rsidRPr="00393380">
          <w:rPr>
            <w:rStyle w:val="Hyperlink"/>
            <w:rFonts w:cs="Arial"/>
            <w:b/>
          </w:rPr>
          <w:t>www.GlobalAtomicCorp.com</w:t>
        </w:r>
      </w:hyperlink>
      <w:r w:rsidR="009D4458" w:rsidRPr="000E3B44">
        <w:rPr>
          <w:rFonts w:cs="Arial"/>
          <w:b/>
          <w:color w:val="002060"/>
        </w:rPr>
        <w:t xml:space="preserve"> </w:t>
      </w:r>
      <w:r w:rsidRPr="000E3B44">
        <w:rPr>
          <w:rFonts w:cs="Arial"/>
          <w:b/>
          <w:color w:val="002060"/>
        </w:rPr>
        <w:t>for further information.</w:t>
      </w:r>
    </w:p>
    <w:p w14:paraId="39365993" w14:textId="154C886D" w:rsidR="000E3B44" w:rsidRPr="000E3B44" w:rsidRDefault="000E3B44" w:rsidP="000E3B44">
      <w:pPr>
        <w:spacing w:after="80"/>
        <w:rPr>
          <w:rFonts w:cs="Arial"/>
        </w:rPr>
      </w:pPr>
      <w:r w:rsidRPr="000E3B44">
        <w:rPr>
          <w:rFonts w:cs="Arial"/>
        </w:rPr>
        <w:t>Key contacts:</w:t>
      </w:r>
    </w:p>
    <w:p w14:paraId="789CE382" w14:textId="60FF58BB" w:rsidR="00B4091E" w:rsidRPr="001B0CBC" w:rsidRDefault="00B4091E" w:rsidP="00BA0548">
      <w:pPr>
        <w:tabs>
          <w:tab w:val="left" w:pos="4860"/>
        </w:tabs>
        <w:spacing w:after="0" w:line="240" w:lineRule="auto"/>
        <w:jc w:val="both"/>
        <w:rPr>
          <w:rFonts w:cs="Arial"/>
        </w:rPr>
      </w:pPr>
      <w:r w:rsidRPr="001B0CBC">
        <w:rPr>
          <w:rFonts w:cs="Arial"/>
        </w:rPr>
        <w:t>Stephen G. Roman</w:t>
      </w:r>
      <w:r w:rsidR="00BA0548">
        <w:rPr>
          <w:rFonts w:cs="Arial"/>
        </w:rPr>
        <w:tab/>
        <w:t>George A. Flach, P.Geo.</w:t>
      </w:r>
    </w:p>
    <w:p w14:paraId="35D0E1CC" w14:textId="5012538A" w:rsidR="00B4091E" w:rsidRPr="001B0CBC" w:rsidRDefault="00B4091E" w:rsidP="00BA0548">
      <w:pPr>
        <w:tabs>
          <w:tab w:val="left" w:pos="4860"/>
        </w:tabs>
        <w:spacing w:after="0" w:line="240" w:lineRule="auto"/>
        <w:jc w:val="both"/>
        <w:rPr>
          <w:rFonts w:cs="Arial"/>
        </w:rPr>
      </w:pPr>
      <w:r w:rsidRPr="001B0CBC">
        <w:rPr>
          <w:rFonts w:cs="Arial"/>
        </w:rPr>
        <w:t>Chairman, President &amp; CEO</w:t>
      </w:r>
      <w:r w:rsidR="00BA0548">
        <w:rPr>
          <w:rFonts w:cs="Arial"/>
        </w:rPr>
        <w:tab/>
        <w:t>Vice President, Exploration</w:t>
      </w:r>
    </w:p>
    <w:p w14:paraId="2973146B" w14:textId="12BE6488" w:rsidR="00B4091E" w:rsidRDefault="00B4091E" w:rsidP="00BA0548">
      <w:pPr>
        <w:pStyle w:val="ListParagraph"/>
        <w:tabs>
          <w:tab w:val="left" w:pos="4860"/>
        </w:tabs>
        <w:spacing w:after="0" w:line="240" w:lineRule="auto"/>
        <w:ind w:left="0"/>
        <w:contextualSpacing w:val="0"/>
        <w:rPr>
          <w:rFonts w:cs="Arial"/>
          <w:lang w:val="en-US"/>
        </w:rPr>
      </w:pPr>
      <w:r w:rsidRPr="00F162B3">
        <w:rPr>
          <w:rFonts w:cs="Arial"/>
          <w:lang w:val="en-US"/>
        </w:rPr>
        <w:t xml:space="preserve">Tel: (416) 368-3949 </w:t>
      </w:r>
      <w:r w:rsidR="00BA0548">
        <w:rPr>
          <w:rFonts w:cs="Arial"/>
          <w:lang w:val="en-US"/>
        </w:rPr>
        <w:tab/>
      </w:r>
      <w:r w:rsidR="00BA0548" w:rsidRPr="00F162B3">
        <w:rPr>
          <w:rFonts w:cs="Arial"/>
          <w:lang w:val="en-US"/>
        </w:rPr>
        <w:t>Tel: (416) 368-3949</w:t>
      </w:r>
      <w:r w:rsidR="00BA0548">
        <w:rPr>
          <w:rFonts w:cs="Arial"/>
          <w:lang w:val="en-US"/>
        </w:rPr>
        <w:t xml:space="preserve"> </w:t>
      </w:r>
    </w:p>
    <w:p w14:paraId="0BA6C178" w14:textId="019DE3D9" w:rsidR="00BA0548" w:rsidRDefault="00BA0548" w:rsidP="00BA0548">
      <w:pPr>
        <w:pStyle w:val="ListParagraph"/>
        <w:tabs>
          <w:tab w:val="left" w:pos="4860"/>
        </w:tabs>
        <w:spacing w:after="0" w:line="240" w:lineRule="auto"/>
        <w:ind w:left="0"/>
        <w:contextualSpacing w:val="0"/>
        <w:rPr>
          <w:rStyle w:val="Hyperlink"/>
          <w:rFonts w:cs="Arial"/>
          <w:lang w:val="en-US"/>
        </w:rPr>
      </w:pPr>
      <w:r>
        <w:rPr>
          <w:rFonts w:cs="Arial"/>
          <w:lang w:val="en-US"/>
        </w:rPr>
        <w:t>Email</w:t>
      </w:r>
      <w:r w:rsidRPr="00F162B3">
        <w:rPr>
          <w:rFonts w:cs="Arial"/>
          <w:lang w:val="en-US"/>
        </w:rPr>
        <w:t xml:space="preserve">: </w:t>
      </w:r>
      <w:hyperlink r:id="rId10" w:history="1">
        <w:r w:rsidR="00197C34" w:rsidRPr="00F7312D">
          <w:rPr>
            <w:rStyle w:val="Hyperlink"/>
            <w:rFonts w:cs="Arial"/>
            <w:lang w:val="en-US"/>
          </w:rPr>
          <w:t>sgr@globalatomiccorp.com</w:t>
        </w:r>
      </w:hyperlink>
      <w:r w:rsidR="009E6989">
        <w:rPr>
          <w:rFonts w:cs="Arial"/>
          <w:lang w:val="en-US"/>
        </w:rPr>
        <w:t xml:space="preserve"> </w:t>
      </w:r>
      <w:r>
        <w:rPr>
          <w:rFonts w:cs="Arial"/>
          <w:lang w:val="en-US"/>
        </w:rPr>
        <w:tab/>
        <w:t xml:space="preserve">Email: </w:t>
      </w:r>
      <w:hyperlink r:id="rId11" w:history="1">
        <w:r w:rsidR="009E6989" w:rsidRPr="008336A9">
          <w:rPr>
            <w:rStyle w:val="Hyperlink"/>
            <w:rFonts w:cs="Arial"/>
            <w:lang w:val="en-US"/>
          </w:rPr>
          <w:t>gaflach@globalatomiccorp.com</w:t>
        </w:r>
      </w:hyperlink>
      <w:r w:rsidR="009E6989">
        <w:rPr>
          <w:rStyle w:val="Hyperlink"/>
          <w:rFonts w:cs="Arial"/>
          <w:lang w:val="en-US"/>
        </w:rPr>
        <w:t xml:space="preserve"> </w:t>
      </w:r>
    </w:p>
    <w:p w14:paraId="63BF0375" w14:textId="7D939A53" w:rsidR="00BA0548" w:rsidRPr="00901A1E" w:rsidRDefault="00BC1767" w:rsidP="00901A1E">
      <w:pPr>
        <w:pStyle w:val="ListParagraph"/>
        <w:tabs>
          <w:tab w:val="left" w:pos="4860"/>
        </w:tabs>
        <w:spacing w:after="0" w:line="240" w:lineRule="auto"/>
        <w:ind w:left="0"/>
        <w:contextualSpacing w:val="0"/>
        <w:rPr>
          <w:rFonts w:cs="Arial"/>
          <w:i/>
          <w:sz w:val="18"/>
          <w:szCs w:val="18"/>
          <w:lang w:val="en-US"/>
        </w:rPr>
      </w:pPr>
      <w:r>
        <w:rPr>
          <w:rFonts w:cs="Arial"/>
          <w:i/>
          <w:sz w:val="18"/>
          <w:szCs w:val="18"/>
          <w:lang w:val="en-US"/>
        </w:rPr>
        <w:br/>
      </w:r>
    </w:p>
    <w:p w14:paraId="0CE7D9B1" w14:textId="017ECF49" w:rsidR="00BB4E81" w:rsidRPr="001133BD" w:rsidRDefault="00B4091E" w:rsidP="001133BD">
      <w:pPr>
        <w:adjustRightInd w:val="0"/>
        <w:jc w:val="both"/>
        <w:rPr>
          <w:rFonts w:ascii="Arial" w:hAnsi="Arial"/>
          <w:sz w:val="14"/>
          <w:szCs w:val="14"/>
        </w:rPr>
      </w:pPr>
      <w:r w:rsidRPr="004F4FBB">
        <w:rPr>
          <w:rFonts w:ascii="Arial" w:hAnsi="Arial"/>
          <w:i/>
          <w:iCs/>
          <w:sz w:val="14"/>
          <w:szCs w:val="14"/>
        </w:rPr>
        <w:t>The information in this release may contain forward-looking information under applicable securities laws. This forward-looking information is subject to known and unknown risks, uncertainties and other factors that may cause actual results to differ materially from those implied by the forward-looking information. Factors that may cause actual results to vary include, but are not limited to, inaccurate assumptions concerning the exploration for and development of mineral deposits, political instability, currency fluctuations, unanticipated operational or technical difficulties, changes in laws or regulations, the risks of obtaining necessary licenses and permits, changes in general economic conditions or conditions in the financial markets and the inability to raise additional financing. Readers are cautioned not to place undue reliance on this forward-looking information.</w:t>
      </w:r>
      <w:r w:rsidRPr="004F4FBB">
        <w:rPr>
          <w:rFonts w:ascii="Arial" w:hAnsi="Arial"/>
          <w:b/>
          <w:bCs/>
          <w:i/>
          <w:iCs/>
          <w:sz w:val="14"/>
          <w:szCs w:val="14"/>
        </w:rPr>
        <w:t> </w:t>
      </w:r>
      <w:r w:rsidRPr="004F4FBB">
        <w:rPr>
          <w:rFonts w:ascii="Arial" w:hAnsi="Arial"/>
          <w:i/>
          <w:iCs/>
          <w:color w:val="0000FF"/>
          <w:sz w:val="14"/>
          <w:szCs w:val="14"/>
        </w:rPr>
        <w:t> </w:t>
      </w:r>
      <w:r w:rsidRPr="004F4FBB">
        <w:rPr>
          <w:rFonts w:ascii="Arial" w:hAnsi="Arial"/>
          <w:i/>
          <w:iCs/>
          <w:color w:val="000000"/>
          <w:sz w:val="14"/>
          <w:szCs w:val="14"/>
        </w:rPr>
        <w:t>The Company</w:t>
      </w:r>
      <w:r w:rsidRPr="004F4FBB">
        <w:rPr>
          <w:rFonts w:ascii="Arial" w:hAnsi="Arial"/>
          <w:i/>
          <w:iCs/>
          <w:color w:val="0000FF"/>
          <w:sz w:val="14"/>
          <w:szCs w:val="14"/>
        </w:rPr>
        <w:t> </w:t>
      </w:r>
      <w:r w:rsidRPr="004F4FBB">
        <w:rPr>
          <w:rFonts w:ascii="Arial" w:hAnsi="Arial"/>
          <w:i/>
          <w:iCs/>
          <w:sz w:val="14"/>
          <w:szCs w:val="14"/>
        </w:rPr>
        <w:t>does not assume the obligation to revise or update this forward-looking information after the date of this release or to revise such information to reflect the occurrence of future unanticipated events, except as may be required under applicable securities laws.</w:t>
      </w:r>
    </w:p>
    <w:sectPr w:rsidR="00BB4E81" w:rsidRPr="001133BD" w:rsidSect="00901A1E">
      <w:headerReference w:type="default" r:id="rId12"/>
      <w:headerReference w:type="first" r:id="rId13"/>
      <w:pgSz w:w="12240" w:h="15840" w:code="1"/>
      <w:pgMar w:top="567" w:right="1041" w:bottom="180" w:left="1134" w:header="5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74A15" w14:textId="77777777" w:rsidR="001B2B30" w:rsidRDefault="001B2B30" w:rsidP="00C10A0A">
      <w:pPr>
        <w:spacing w:after="0" w:line="240" w:lineRule="auto"/>
      </w:pPr>
      <w:r>
        <w:separator/>
      </w:r>
    </w:p>
  </w:endnote>
  <w:endnote w:type="continuationSeparator" w:id="0">
    <w:p w14:paraId="125C5564" w14:textId="77777777" w:rsidR="001B2B30" w:rsidRDefault="001B2B30" w:rsidP="00C10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443F5" w14:textId="77777777" w:rsidR="001B2B30" w:rsidRDefault="001B2B30" w:rsidP="00C10A0A">
      <w:pPr>
        <w:spacing w:after="0" w:line="240" w:lineRule="auto"/>
      </w:pPr>
      <w:r>
        <w:separator/>
      </w:r>
    </w:p>
  </w:footnote>
  <w:footnote w:type="continuationSeparator" w:id="0">
    <w:p w14:paraId="34CF6AEB" w14:textId="77777777" w:rsidR="001B2B30" w:rsidRDefault="001B2B30" w:rsidP="00C10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D556" w14:textId="41E25BF9" w:rsidR="00B243C4" w:rsidRPr="00BB4E81" w:rsidRDefault="00B905B3" w:rsidP="00BB4E81">
    <w:pPr>
      <w:pStyle w:val="Header"/>
    </w:pPr>
    <w:r>
      <w:rPr>
        <w:noProof/>
        <w:lang w:val="en-US"/>
      </w:rPr>
      <w:drawing>
        <wp:inline distT="0" distB="0" distL="0" distR="0" wp14:anchorId="1350111B" wp14:editId="515033B1">
          <wp:extent cx="647619" cy="43809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al-Atomic-logo-January 31, 2018-signature.png"/>
                  <pic:cNvPicPr/>
                </pic:nvPicPr>
                <pic:blipFill>
                  <a:blip r:embed="rId1"/>
                  <a:stretch>
                    <a:fillRect/>
                  </a:stretch>
                </pic:blipFill>
                <pic:spPr>
                  <a:xfrm>
                    <a:off x="0" y="0"/>
                    <a:ext cx="647619" cy="4380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E796" w14:textId="08DC6DF9" w:rsidR="00B243C4" w:rsidRDefault="00B905B3">
    <w:pPr>
      <w:pStyle w:val="Header"/>
    </w:pPr>
    <w:r>
      <w:rPr>
        <w:noProof/>
        <w:lang w:val="en-US"/>
      </w:rPr>
      <mc:AlternateContent>
        <mc:Choice Requires="wps">
          <w:drawing>
            <wp:anchor distT="0" distB="0" distL="114300" distR="114300" simplePos="0" relativeHeight="251657728" behindDoc="0" locked="0" layoutInCell="1" allowOverlap="1" wp14:anchorId="2ECE8A9B" wp14:editId="174DD94E">
              <wp:simplePos x="0" y="0"/>
              <wp:positionH relativeFrom="margin">
                <wp:align>center</wp:align>
              </wp:positionH>
              <wp:positionV relativeFrom="paragraph">
                <wp:posOffset>387985</wp:posOffset>
              </wp:positionV>
              <wp:extent cx="2528570" cy="581025"/>
              <wp:effectExtent l="0" t="0" r="0" b="952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7BCA0" w14:textId="77777777" w:rsidR="00B243C4" w:rsidRPr="00BB723A" w:rsidRDefault="00B243C4" w:rsidP="00BB723A">
                          <w:pPr>
                            <w:jc w:val="center"/>
                            <w:rPr>
                              <w:b/>
                              <w:sz w:val="52"/>
                              <w:szCs w:val="52"/>
                            </w:rPr>
                          </w:pPr>
                          <w:r w:rsidRPr="00BB723A">
                            <w:rPr>
                              <w:b/>
                              <w:sz w:val="52"/>
                              <w:szCs w:val="52"/>
                            </w:rPr>
                            <w:t>PRESS RELEASE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ECE8A9B" id="_x0000_t202" coordsize="21600,21600" o:spt="202" path="m,l,21600r21600,l21600,xe">
              <v:stroke joinstyle="miter"/>
              <v:path gradientshapeok="t" o:connecttype="rect"/>
            </v:shapetype>
            <v:shape id="Text Box 6" o:spid="_x0000_s1026" type="#_x0000_t202" style="position:absolute;margin-left:0;margin-top:30.55pt;width:199.1pt;height:45.75pt;z-index:251657728;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Q3gQIAAA8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" stroked="f">
              <v:textbox>
                <w:txbxContent>
                  <w:p w14:paraId="1E27BCA0" w14:textId="77777777" w:rsidR="00B243C4" w:rsidRPr="00BB723A" w:rsidRDefault="00B243C4" w:rsidP="00BB723A">
                    <w:pPr>
                      <w:jc w:val="center"/>
                      <w:rPr>
                        <w:b/>
                        <w:sz w:val="52"/>
                        <w:szCs w:val="52"/>
                      </w:rPr>
                    </w:pPr>
                    <w:r w:rsidRPr="00BB723A">
                      <w:rPr>
                        <w:b/>
                        <w:sz w:val="52"/>
                        <w:szCs w:val="52"/>
                      </w:rPr>
                      <w:t>PRESS RELEASE</w:t>
                    </w:r>
                  </w:p>
                </w:txbxContent>
              </v:textbox>
              <w10:wrap anchorx="margin"/>
            </v:shape>
          </w:pict>
        </mc:Fallback>
      </mc:AlternateContent>
    </w:r>
    <w:r w:rsidR="00B72581">
      <w:rPr>
        <w:noProof/>
        <w:lang w:val="en-US"/>
      </w:rPr>
      <mc:AlternateContent>
        <mc:Choice Requires="wps">
          <w:drawing>
            <wp:anchor distT="4294967294" distB="4294967294" distL="114300" distR="114300" simplePos="0" relativeHeight="251656704" behindDoc="0" locked="0" layoutInCell="1" allowOverlap="1" wp14:anchorId="00EDA71D" wp14:editId="0D69CEA1">
              <wp:simplePos x="0" y="0"/>
              <wp:positionH relativeFrom="margin">
                <wp:align>right</wp:align>
              </wp:positionH>
              <wp:positionV relativeFrom="paragraph">
                <wp:posOffset>1140460</wp:posOffset>
              </wp:positionV>
              <wp:extent cx="6391275"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0B007" id="Line 4" o:spid="_x0000_s1026" style="position:absolute;z-index:251656704;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52.05pt,89.8pt" to="955.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YW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">
              <w10:wrap anchorx="margin"/>
            </v:line>
          </w:pict>
        </mc:Fallback>
      </mc:AlternateContent>
    </w:r>
    <w:r w:rsidR="00B72581">
      <w:t xml:space="preserve">  </w:t>
    </w:r>
    <w:r>
      <w:rPr>
        <w:noProof/>
        <w:lang w:val="en-US"/>
      </w:rPr>
      <w:drawing>
        <wp:inline distT="0" distB="0" distL="0" distR="0" wp14:anchorId="2FE0F323" wp14:editId="56C83AE8">
          <wp:extent cx="1590675" cy="1326274"/>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al-Atomic-logo-January 31, 2018.jpg"/>
                  <pic:cNvPicPr/>
                </pic:nvPicPr>
                <pic:blipFill>
                  <a:blip r:embed="rId1"/>
                  <a:stretch>
                    <a:fillRect/>
                  </a:stretch>
                </pic:blipFill>
                <pic:spPr>
                  <a:xfrm>
                    <a:off x="0" y="0"/>
                    <a:ext cx="1673835" cy="13956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7611F"/>
    <w:multiLevelType w:val="multilevel"/>
    <w:tmpl w:val="7290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82D47"/>
    <w:multiLevelType w:val="hybridMultilevel"/>
    <w:tmpl w:val="8F8EA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5E165E"/>
    <w:multiLevelType w:val="hybridMultilevel"/>
    <w:tmpl w:val="7D42ED24"/>
    <w:lvl w:ilvl="0" w:tplc="10090003">
      <w:start w:val="1"/>
      <w:numFmt w:val="bullet"/>
      <w:lvlText w:val="o"/>
      <w:lvlJc w:val="left"/>
      <w:pPr>
        <w:ind w:left="2563" w:hanging="360"/>
      </w:pPr>
      <w:rPr>
        <w:rFonts w:ascii="Courier New" w:hAnsi="Courier New" w:cs="Courier New" w:hint="default"/>
      </w:rPr>
    </w:lvl>
    <w:lvl w:ilvl="1" w:tplc="10090003" w:tentative="1">
      <w:start w:val="1"/>
      <w:numFmt w:val="bullet"/>
      <w:lvlText w:val="o"/>
      <w:lvlJc w:val="left"/>
      <w:pPr>
        <w:ind w:left="3283" w:hanging="360"/>
      </w:pPr>
      <w:rPr>
        <w:rFonts w:ascii="Courier New" w:hAnsi="Courier New" w:cs="Courier New" w:hint="default"/>
      </w:rPr>
    </w:lvl>
    <w:lvl w:ilvl="2" w:tplc="10090005" w:tentative="1">
      <w:start w:val="1"/>
      <w:numFmt w:val="bullet"/>
      <w:lvlText w:val=""/>
      <w:lvlJc w:val="left"/>
      <w:pPr>
        <w:ind w:left="4003" w:hanging="360"/>
      </w:pPr>
      <w:rPr>
        <w:rFonts w:ascii="Wingdings" w:hAnsi="Wingdings" w:hint="default"/>
      </w:rPr>
    </w:lvl>
    <w:lvl w:ilvl="3" w:tplc="10090001" w:tentative="1">
      <w:start w:val="1"/>
      <w:numFmt w:val="bullet"/>
      <w:lvlText w:val=""/>
      <w:lvlJc w:val="left"/>
      <w:pPr>
        <w:ind w:left="4723" w:hanging="360"/>
      </w:pPr>
      <w:rPr>
        <w:rFonts w:ascii="Symbol" w:hAnsi="Symbol" w:hint="default"/>
      </w:rPr>
    </w:lvl>
    <w:lvl w:ilvl="4" w:tplc="10090003" w:tentative="1">
      <w:start w:val="1"/>
      <w:numFmt w:val="bullet"/>
      <w:lvlText w:val="o"/>
      <w:lvlJc w:val="left"/>
      <w:pPr>
        <w:ind w:left="5443" w:hanging="360"/>
      </w:pPr>
      <w:rPr>
        <w:rFonts w:ascii="Courier New" w:hAnsi="Courier New" w:cs="Courier New" w:hint="default"/>
      </w:rPr>
    </w:lvl>
    <w:lvl w:ilvl="5" w:tplc="10090005" w:tentative="1">
      <w:start w:val="1"/>
      <w:numFmt w:val="bullet"/>
      <w:lvlText w:val=""/>
      <w:lvlJc w:val="left"/>
      <w:pPr>
        <w:ind w:left="6163" w:hanging="360"/>
      </w:pPr>
      <w:rPr>
        <w:rFonts w:ascii="Wingdings" w:hAnsi="Wingdings" w:hint="default"/>
      </w:rPr>
    </w:lvl>
    <w:lvl w:ilvl="6" w:tplc="10090001" w:tentative="1">
      <w:start w:val="1"/>
      <w:numFmt w:val="bullet"/>
      <w:lvlText w:val=""/>
      <w:lvlJc w:val="left"/>
      <w:pPr>
        <w:ind w:left="6883" w:hanging="360"/>
      </w:pPr>
      <w:rPr>
        <w:rFonts w:ascii="Symbol" w:hAnsi="Symbol" w:hint="default"/>
      </w:rPr>
    </w:lvl>
    <w:lvl w:ilvl="7" w:tplc="10090003" w:tentative="1">
      <w:start w:val="1"/>
      <w:numFmt w:val="bullet"/>
      <w:lvlText w:val="o"/>
      <w:lvlJc w:val="left"/>
      <w:pPr>
        <w:ind w:left="7603" w:hanging="360"/>
      </w:pPr>
      <w:rPr>
        <w:rFonts w:ascii="Courier New" w:hAnsi="Courier New" w:cs="Courier New" w:hint="default"/>
      </w:rPr>
    </w:lvl>
    <w:lvl w:ilvl="8" w:tplc="10090005" w:tentative="1">
      <w:start w:val="1"/>
      <w:numFmt w:val="bullet"/>
      <w:lvlText w:val=""/>
      <w:lvlJc w:val="left"/>
      <w:pPr>
        <w:ind w:left="8323" w:hanging="360"/>
      </w:pPr>
      <w:rPr>
        <w:rFonts w:ascii="Wingdings" w:hAnsi="Wingdings" w:hint="default"/>
      </w:rPr>
    </w:lvl>
  </w:abstractNum>
  <w:abstractNum w:abstractNumId="3" w15:restartNumberingAfterBreak="0">
    <w:nsid w:val="0DC90B08"/>
    <w:multiLevelType w:val="hybridMultilevel"/>
    <w:tmpl w:val="C4768DF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55765"/>
    <w:multiLevelType w:val="hybridMultilevel"/>
    <w:tmpl w:val="29C84ED4"/>
    <w:lvl w:ilvl="0" w:tplc="10090001">
      <w:start w:val="1"/>
      <w:numFmt w:val="bullet"/>
      <w:lvlText w:val=""/>
      <w:lvlJc w:val="left"/>
      <w:pPr>
        <w:ind w:left="1854" w:hanging="360"/>
      </w:pPr>
      <w:rPr>
        <w:rFonts w:ascii="Symbol" w:hAnsi="Symbol"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5" w15:restartNumberingAfterBreak="0">
    <w:nsid w:val="1B0F31FB"/>
    <w:multiLevelType w:val="hybridMultilevel"/>
    <w:tmpl w:val="9946947C"/>
    <w:lvl w:ilvl="0" w:tplc="940E747E">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1285A"/>
    <w:multiLevelType w:val="hybridMultilevel"/>
    <w:tmpl w:val="946EB526"/>
    <w:lvl w:ilvl="0" w:tplc="FC2CD5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8BD5700"/>
    <w:multiLevelType w:val="hybridMultilevel"/>
    <w:tmpl w:val="F8D25A32"/>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866621"/>
    <w:multiLevelType w:val="hybridMultilevel"/>
    <w:tmpl w:val="7A5A5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F1151"/>
    <w:multiLevelType w:val="hybridMultilevel"/>
    <w:tmpl w:val="FD46E9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B665098"/>
    <w:multiLevelType w:val="hybridMultilevel"/>
    <w:tmpl w:val="55FACEC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3FA5F6D"/>
    <w:multiLevelType w:val="hybridMultilevel"/>
    <w:tmpl w:val="66D44F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6C45CE7"/>
    <w:multiLevelType w:val="hybridMultilevel"/>
    <w:tmpl w:val="83D4E0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7FA56C4"/>
    <w:multiLevelType w:val="hybridMultilevel"/>
    <w:tmpl w:val="BDBA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57E6F"/>
    <w:multiLevelType w:val="hybridMultilevel"/>
    <w:tmpl w:val="65F294CA"/>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5" w15:restartNumberingAfterBreak="0">
    <w:nsid w:val="5F197BE8"/>
    <w:multiLevelType w:val="hybridMultilevel"/>
    <w:tmpl w:val="910E3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D471EB"/>
    <w:multiLevelType w:val="hybridMultilevel"/>
    <w:tmpl w:val="2960BC0A"/>
    <w:lvl w:ilvl="0" w:tplc="1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851C8B"/>
    <w:multiLevelType w:val="hybridMultilevel"/>
    <w:tmpl w:val="9BEC4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
  </w:num>
  <w:num w:numId="4">
    <w:abstractNumId w:val="12"/>
  </w:num>
  <w:num w:numId="5">
    <w:abstractNumId w:val="7"/>
  </w:num>
  <w:num w:numId="6">
    <w:abstractNumId w:val="4"/>
  </w:num>
  <w:num w:numId="7">
    <w:abstractNumId w:val="14"/>
  </w:num>
  <w:num w:numId="8">
    <w:abstractNumId w:val="2"/>
  </w:num>
  <w:num w:numId="9">
    <w:abstractNumId w:val="9"/>
  </w:num>
  <w:num w:numId="10">
    <w:abstractNumId w:val="6"/>
  </w:num>
  <w:num w:numId="11">
    <w:abstractNumId w:val="8"/>
  </w:num>
  <w:num w:numId="12">
    <w:abstractNumId w:val="16"/>
  </w:num>
  <w:num w:numId="13">
    <w:abstractNumId w:val="0"/>
  </w:num>
  <w:num w:numId="14">
    <w:abstractNumId w:val="13"/>
  </w:num>
  <w:num w:numId="15">
    <w:abstractNumId w:val="5"/>
  </w:num>
  <w:num w:numId="16">
    <w:abstractNumId w:val="15"/>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displayVertic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A0A"/>
    <w:rsid w:val="00001475"/>
    <w:rsid w:val="00001809"/>
    <w:rsid w:val="00003212"/>
    <w:rsid w:val="00005C31"/>
    <w:rsid w:val="00007502"/>
    <w:rsid w:val="00007D53"/>
    <w:rsid w:val="00022767"/>
    <w:rsid w:val="00023DDC"/>
    <w:rsid w:val="00024DDF"/>
    <w:rsid w:val="00032906"/>
    <w:rsid w:val="000349B6"/>
    <w:rsid w:val="000357C8"/>
    <w:rsid w:val="000362F3"/>
    <w:rsid w:val="00037A74"/>
    <w:rsid w:val="0004569F"/>
    <w:rsid w:val="00046B71"/>
    <w:rsid w:val="00051134"/>
    <w:rsid w:val="00055C31"/>
    <w:rsid w:val="00066064"/>
    <w:rsid w:val="00074DB6"/>
    <w:rsid w:val="000777AB"/>
    <w:rsid w:val="00087EB5"/>
    <w:rsid w:val="00095078"/>
    <w:rsid w:val="00096886"/>
    <w:rsid w:val="000C4CAC"/>
    <w:rsid w:val="000C5A45"/>
    <w:rsid w:val="000E3B44"/>
    <w:rsid w:val="000F1B16"/>
    <w:rsid w:val="000F66B2"/>
    <w:rsid w:val="001133BD"/>
    <w:rsid w:val="00140FCF"/>
    <w:rsid w:val="001411E5"/>
    <w:rsid w:val="00144E31"/>
    <w:rsid w:val="00164FD8"/>
    <w:rsid w:val="0017283F"/>
    <w:rsid w:val="00177EEB"/>
    <w:rsid w:val="00181887"/>
    <w:rsid w:val="00197C34"/>
    <w:rsid w:val="001A102A"/>
    <w:rsid w:val="001A2D12"/>
    <w:rsid w:val="001B0376"/>
    <w:rsid w:val="001B0CBC"/>
    <w:rsid w:val="001B2712"/>
    <w:rsid w:val="001B2B30"/>
    <w:rsid w:val="001B6846"/>
    <w:rsid w:val="001D195D"/>
    <w:rsid w:val="001D43BF"/>
    <w:rsid w:val="001D5F2F"/>
    <w:rsid w:val="001D78C2"/>
    <w:rsid w:val="001F6A10"/>
    <w:rsid w:val="002053F6"/>
    <w:rsid w:val="002111D4"/>
    <w:rsid w:val="00225A60"/>
    <w:rsid w:val="002325D6"/>
    <w:rsid w:val="0023431B"/>
    <w:rsid w:val="00247725"/>
    <w:rsid w:val="00251E14"/>
    <w:rsid w:val="00254641"/>
    <w:rsid w:val="00260BF5"/>
    <w:rsid w:val="00262B21"/>
    <w:rsid w:val="00262B74"/>
    <w:rsid w:val="002771C1"/>
    <w:rsid w:val="002912F7"/>
    <w:rsid w:val="002A5CFE"/>
    <w:rsid w:val="002C6AA3"/>
    <w:rsid w:val="002D0ACA"/>
    <w:rsid w:val="002E3AE6"/>
    <w:rsid w:val="002E668B"/>
    <w:rsid w:val="002F69F4"/>
    <w:rsid w:val="003025FE"/>
    <w:rsid w:val="00303C11"/>
    <w:rsid w:val="00310D21"/>
    <w:rsid w:val="00312E87"/>
    <w:rsid w:val="0033263F"/>
    <w:rsid w:val="00341425"/>
    <w:rsid w:val="003441E5"/>
    <w:rsid w:val="00344562"/>
    <w:rsid w:val="0035524A"/>
    <w:rsid w:val="00361023"/>
    <w:rsid w:val="0036267F"/>
    <w:rsid w:val="003722AC"/>
    <w:rsid w:val="00391419"/>
    <w:rsid w:val="00396BD0"/>
    <w:rsid w:val="003973EE"/>
    <w:rsid w:val="003A3623"/>
    <w:rsid w:val="003A4ADE"/>
    <w:rsid w:val="003B0AAF"/>
    <w:rsid w:val="003B5F56"/>
    <w:rsid w:val="003C51EF"/>
    <w:rsid w:val="003D077E"/>
    <w:rsid w:val="003D3C46"/>
    <w:rsid w:val="003D7438"/>
    <w:rsid w:val="003E269F"/>
    <w:rsid w:val="003E34FF"/>
    <w:rsid w:val="003E4766"/>
    <w:rsid w:val="003F0ADC"/>
    <w:rsid w:val="003F44A1"/>
    <w:rsid w:val="00401108"/>
    <w:rsid w:val="004057C5"/>
    <w:rsid w:val="00424EEB"/>
    <w:rsid w:val="004354C2"/>
    <w:rsid w:val="00435F2F"/>
    <w:rsid w:val="00462DBF"/>
    <w:rsid w:val="0046606B"/>
    <w:rsid w:val="00470859"/>
    <w:rsid w:val="00491EFC"/>
    <w:rsid w:val="00493453"/>
    <w:rsid w:val="004A04BF"/>
    <w:rsid w:val="004A70E5"/>
    <w:rsid w:val="004B0848"/>
    <w:rsid w:val="004B262A"/>
    <w:rsid w:val="004C438B"/>
    <w:rsid w:val="004C5207"/>
    <w:rsid w:val="004E0E6E"/>
    <w:rsid w:val="004F0D5E"/>
    <w:rsid w:val="004F26CD"/>
    <w:rsid w:val="00502075"/>
    <w:rsid w:val="00504F86"/>
    <w:rsid w:val="005163C3"/>
    <w:rsid w:val="005255D6"/>
    <w:rsid w:val="005303CD"/>
    <w:rsid w:val="00561E8F"/>
    <w:rsid w:val="00570496"/>
    <w:rsid w:val="005769D2"/>
    <w:rsid w:val="005924C3"/>
    <w:rsid w:val="005926C5"/>
    <w:rsid w:val="005B1078"/>
    <w:rsid w:val="005C094C"/>
    <w:rsid w:val="005D0DCC"/>
    <w:rsid w:val="005E06A8"/>
    <w:rsid w:val="005F725E"/>
    <w:rsid w:val="005F7393"/>
    <w:rsid w:val="0060220C"/>
    <w:rsid w:val="00610B9E"/>
    <w:rsid w:val="00613659"/>
    <w:rsid w:val="00621955"/>
    <w:rsid w:val="00625097"/>
    <w:rsid w:val="0064096F"/>
    <w:rsid w:val="00640DE7"/>
    <w:rsid w:val="006440B0"/>
    <w:rsid w:val="00645F52"/>
    <w:rsid w:val="006557A5"/>
    <w:rsid w:val="00656800"/>
    <w:rsid w:val="00664226"/>
    <w:rsid w:val="006663ED"/>
    <w:rsid w:val="00670C02"/>
    <w:rsid w:val="00674A8B"/>
    <w:rsid w:val="00691F98"/>
    <w:rsid w:val="00692A0C"/>
    <w:rsid w:val="0069672B"/>
    <w:rsid w:val="00696E73"/>
    <w:rsid w:val="006A1995"/>
    <w:rsid w:val="006A2DE6"/>
    <w:rsid w:val="006A3A8D"/>
    <w:rsid w:val="006B27B0"/>
    <w:rsid w:val="006B7225"/>
    <w:rsid w:val="006C2997"/>
    <w:rsid w:val="006C54C4"/>
    <w:rsid w:val="006D4BDF"/>
    <w:rsid w:val="006E10BA"/>
    <w:rsid w:val="006E2EC0"/>
    <w:rsid w:val="006E41BB"/>
    <w:rsid w:val="006E4330"/>
    <w:rsid w:val="006F3A75"/>
    <w:rsid w:val="006F41C0"/>
    <w:rsid w:val="007029F5"/>
    <w:rsid w:val="00723CED"/>
    <w:rsid w:val="0073731D"/>
    <w:rsid w:val="0074078D"/>
    <w:rsid w:val="00742E80"/>
    <w:rsid w:val="007573D3"/>
    <w:rsid w:val="00763737"/>
    <w:rsid w:val="00775867"/>
    <w:rsid w:val="007869D7"/>
    <w:rsid w:val="007926F2"/>
    <w:rsid w:val="007A279F"/>
    <w:rsid w:val="007A31D0"/>
    <w:rsid w:val="007B1787"/>
    <w:rsid w:val="007B20A7"/>
    <w:rsid w:val="007B40BE"/>
    <w:rsid w:val="007B6846"/>
    <w:rsid w:val="007C2028"/>
    <w:rsid w:val="007D75F2"/>
    <w:rsid w:val="007E09E9"/>
    <w:rsid w:val="007E3FF0"/>
    <w:rsid w:val="007E73D1"/>
    <w:rsid w:val="007F33AF"/>
    <w:rsid w:val="007F40F6"/>
    <w:rsid w:val="00801C81"/>
    <w:rsid w:val="008144E1"/>
    <w:rsid w:val="008162E5"/>
    <w:rsid w:val="00833301"/>
    <w:rsid w:val="00833B40"/>
    <w:rsid w:val="00842230"/>
    <w:rsid w:val="0084641D"/>
    <w:rsid w:val="00850FEA"/>
    <w:rsid w:val="0085101F"/>
    <w:rsid w:val="00851637"/>
    <w:rsid w:val="0085268F"/>
    <w:rsid w:val="00862D99"/>
    <w:rsid w:val="0086416B"/>
    <w:rsid w:val="0087479F"/>
    <w:rsid w:val="00876DD9"/>
    <w:rsid w:val="0088132D"/>
    <w:rsid w:val="00885F02"/>
    <w:rsid w:val="008901C0"/>
    <w:rsid w:val="008A2978"/>
    <w:rsid w:val="008A5375"/>
    <w:rsid w:val="008A64CF"/>
    <w:rsid w:val="008A6D77"/>
    <w:rsid w:val="008B470B"/>
    <w:rsid w:val="008D2DA1"/>
    <w:rsid w:val="008F28AD"/>
    <w:rsid w:val="00901A1E"/>
    <w:rsid w:val="0090211C"/>
    <w:rsid w:val="009041A6"/>
    <w:rsid w:val="00921266"/>
    <w:rsid w:val="00934851"/>
    <w:rsid w:val="00940942"/>
    <w:rsid w:val="009472FB"/>
    <w:rsid w:val="00951397"/>
    <w:rsid w:val="00971930"/>
    <w:rsid w:val="009A023D"/>
    <w:rsid w:val="009A0653"/>
    <w:rsid w:val="009A0CBF"/>
    <w:rsid w:val="009A0F3C"/>
    <w:rsid w:val="009A1E9C"/>
    <w:rsid w:val="009A4196"/>
    <w:rsid w:val="009B3F0C"/>
    <w:rsid w:val="009C2F56"/>
    <w:rsid w:val="009D2C33"/>
    <w:rsid w:val="009D3FCA"/>
    <w:rsid w:val="009D4458"/>
    <w:rsid w:val="009E40BB"/>
    <w:rsid w:val="009E6989"/>
    <w:rsid w:val="009F42AF"/>
    <w:rsid w:val="00A162EC"/>
    <w:rsid w:val="00A16AE5"/>
    <w:rsid w:val="00A32368"/>
    <w:rsid w:val="00A323E5"/>
    <w:rsid w:val="00A35522"/>
    <w:rsid w:val="00A51976"/>
    <w:rsid w:val="00A6297A"/>
    <w:rsid w:val="00A63C57"/>
    <w:rsid w:val="00A72168"/>
    <w:rsid w:val="00A725FC"/>
    <w:rsid w:val="00A72BC9"/>
    <w:rsid w:val="00A80DF1"/>
    <w:rsid w:val="00A83F34"/>
    <w:rsid w:val="00A854AA"/>
    <w:rsid w:val="00A90E89"/>
    <w:rsid w:val="00A96CB3"/>
    <w:rsid w:val="00AA03EA"/>
    <w:rsid w:val="00AB209D"/>
    <w:rsid w:val="00AB2F92"/>
    <w:rsid w:val="00AB7339"/>
    <w:rsid w:val="00AC189A"/>
    <w:rsid w:val="00AC4B35"/>
    <w:rsid w:val="00AD04BF"/>
    <w:rsid w:val="00AD7D7F"/>
    <w:rsid w:val="00AE2C95"/>
    <w:rsid w:val="00AE3BF4"/>
    <w:rsid w:val="00B11C53"/>
    <w:rsid w:val="00B15DBD"/>
    <w:rsid w:val="00B20B1C"/>
    <w:rsid w:val="00B243C4"/>
    <w:rsid w:val="00B37C74"/>
    <w:rsid w:val="00B37E2B"/>
    <w:rsid w:val="00B4091E"/>
    <w:rsid w:val="00B40BA1"/>
    <w:rsid w:val="00B42340"/>
    <w:rsid w:val="00B43A08"/>
    <w:rsid w:val="00B72581"/>
    <w:rsid w:val="00B73CBD"/>
    <w:rsid w:val="00B83210"/>
    <w:rsid w:val="00B847EB"/>
    <w:rsid w:val="00B905B3"/>
    <w:rsid w:val="00B95487"/>
    <w:rsid w:val="00BA0548"/>
    <w:rsid w:val="00BA29D0"/>
    <w:rsid w:val="00BA3353"/>
    <w:rsid w:val="00BB0D1F"/>
    <w:rsid w:val="00BB4E81"/>
    <w:rsid w:val="00BB6864"/>
    <w:rsid w:val="00BB6A84"/>
    <w:rsid w:val="00BB6EB9"/>
    <w:rsid w:val="00BB723A"/>
    <w:rsid w:val="00BC1767"/>
    <w:rsid w:val="00BD1A42"/>
    <w:rsid w:val="00BD4038"/>
    <w:rsid w:val="00BE4755"/>
    <w:rsid w:val="00BF5BBB"/>
    <w:rsid w:val="00C058C3"/>
    <w:rsid w:val="00C05DC0"/>
    <w:rsid w:val="00C10A0A"/>
    <w:rsid w:val="00C17552"/>
    <w:rsid w:val="00C3263B"/>
    <w:rsid w:val="00C330CD"/>
    <w:rsid w:val="00C44B96"/>
    <w:rsid w:val="00C46F3F"/>
    <w:rsid w:val="00C5057D"/>
    <w:rsid w:val="00C51FF2"/>
    <w:rsid w:val="00C63818"/>
    <w:rsid w:val="00C67234"/>
    <w:rsid w:val="00C70218"/>
    <w:rsid w:val="00C918CD"/>
    <w:rsid w:val="00C9238E"/>
    <w:rsid w:val="00CA68A7"/>
    <w:rsid w:val="00CB2909"/>
    <w:rsid w:val="00CC2E28"/>
    <w:rsid w:val="00CD482B"/>
    <w:rsid w:val="00D10466"/>
    <w:rsid w:val="00D15185"/>
    <w:rsid w:val="00D1579A"/>
    <w:rsid w:val="00D165CD"/>
    <w:rsid w:val="00D16FC0"/>
    <w:rsid w:val="00D234E6"/>
    <w:rsid w:val="00D348AB"/>
    <w:rsid w:val="00D40503"/>
    <w:rsid w:val="00D56274"/>
    <w:rsid w:val="00D56E4C"/>
    <w:rsid w:val="00D65FE9"/>
    <w:rsid w:val="00D71E23"/>
    <w:rsid w:val="00D77E54"/>
    <w:rsid w:val="00D844DE"/>
    <w:rsid w:val="00D90FEE"/>
    <w:rsid w:val="00D91059"/>
    <w:rsid w:val="00DB068A"/>
    <w:rsid w:val="00DB4C13"/>
    <w:rsid w:val="00DB7205"/>
    <w:rsid w:val="00DC01C5"/>
    <w:rsid w:val="00DC169E"/>
    <w:rsid w:val="00DC1AA9"/>
    <w:rsid w:val="00DC5966"/>
    <w:rsid w:val="00DD2CC1"/>
    <w:rsid w:val="00DD31E7"/>
    <w:rsid w:val="00DD50C5"/>
    <w:rsid w:val="00DE3127"/>
    <w:rsid w:val="00DF09F0"/>
    <w:rsid w:val="00DF2152"/>
    <w:rsid w:val="00DF2BCD"/>
    <w:rsid w:val="00E02C69"/>
    <w:rsid w:val="00E02FB5"/>
    <w:rsid w:val="00E07B67"/>
    <w:rsid w:val="00E12214"/>
    <w:rsid w:val="00E16305"/>
    <w:rsid w:val="00E220AF"/>
    <w:rsid w:val="00E34F0A"/>
    <w:rsid w:val="00E431DF"/>
    <w:rsid w:val="00E62BA3"/>
    <w:rsid w:val="00E62ECE"/>
    <w:rsid w:val="00E63ED2"/>
    <w:rsid w:val="00E7772C"/>
    <w:rsid w:val="00E80BA7"/>
    <w:rsid w:val="00E932B5"/>
    <w:rsid w:val="00E96E2F"/>
    <w:rsid w:val="00EA1117"/>
    <w:rsid w:val="00ED5DE2"/>
    <w:rsid w:val="00ED6A5C"/>
    <w:rsid w:val="00EE0082"/>
    <w:rsid w:val="00EE3B59"/>
    <w:rsid w:val="00EE482F"/>
    <w:rsid w:val="00EE54F8"/>
    <w:rsid w:val="00EF54AA"/>
    <w:rsid w:val="00F13922"/>
    <w:rsid w:val="00F15AD8"/>
    <w:rsid w:val="00F25A1D"/>
    <w:rsid w:val="00F305D7"/>
    <w:rsid w:val="00F338D6"/>
    <w:rsid w:val="00F41EB1"/>
    <w:rsid w:val="00F43DF0"/>
    <w:rsid w:val="00F452C0"/>
    <w:rsid w:val="00F52563"/>
    <w:rsid w:val="00F55AC6"/>
    <w:rsid w:val="00F57E78"/>
    <w:rsid w:val="00F66630"/>
    <w:rsid w:val="00F70539"/>
    <w:rsid w:val="00F71B54"/>
    <w:rsid w:val="00F75F10"/>
    <w:rsid w:val="00F809F2"/>
    <w:rsid w:val="00F82181"/>
    <w:rsid w:val="00F90CD2"/>
    <w:rsid w:val="00F974E9"/>
    <w:rsid w:val="00FA2053"/>
    <w:rsid w:val="00FA74D7"/>
    <w:rsid w:val="00FB0DC2"/>
    <w:rsid w:val="00FB2BA3"/>
    <w:rsid w:val="00FB2E4F"/>
    <w:rsid w:val="00FB6458"/>
    <w:rsid w:val="00FC28DA"/>
    <w:rsid w:val="00FD2F89"/>
    <w:rsid w:val="00FD353F"/>
    <w:rsid w:val="00FF428A"/>
    <w:rsid w:val="00FF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shapelayout v:ext="edit">
      <o:idmap v:ext="edit" data="1"/>
    </o:shapelayout>
  </w:shapeDefaults>
  <w:decimalSymbol w:val="."/>
  <w:listSeparator w:val=","/>
  <w14:docId w14:val="7CD3A34F"/>
  <w15:docId w15:val="{7105CDDD-C270-430C-84F9-7CA7B017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7E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A0A"/>
  </w:style>
  <w:style w:type="paragraph" w:styleId="Footer">
    <w:name w:val="footer"/>
    <w:basedOn w:val="Normal"/>
    <w:link w:val="FooterChar"/>
    <w:uiPriority w:val="99"/>
    <w:unhideWhenUsed/>
    <w:rsid w:val="00C10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A0A"/>
  </w:style>
  <w:style w:type="paragraph" w:styleId="BalloonText">
    <w:name w:val="Balloon Text"/>
    <w:basedOn w:val="Normal"/>
    <w:link w:val="BalloonTextChar"/>
    <w:uiPriority w:val="99"/>
    <w:semiHidden/>
    <w:unhideWhenUsed/>
    <w:rsid w:val="00C10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A0A"/>
    <w:rPr>
      <w:rFonts w:ascii="Tahoma" w:hAnsi="Tahoma" w:cs="Tahoma"/>
      <w:sz w:val="16"/>
      <w:szCs w:val="16"/>
    </w:rPr>
  </w:style>
  <w:style w:type="paragraph" w:styleId="ListParagraph">
    <w:name w:val="List Paragraph"/>
    <w:basedOn w:val="Normal"/>
    <w:uiPriority w:val="34"/>
    <w:qFormat/>
    <w:rsid w:val="00C10A0A"/>
    <w:pPr>
      <w:ind w:left="720"/>
      <w:contextualSpacing/>
    </w:pPr>
  </w:style>
  <w:style w:type="character" w:styleId="Hyperlink">
    <w:name w:val="Hyperlink"/>
    <w:basedOn w:val="DefaultParagraphFont"/>
    <w:uiPriority w:val="99"/>
    <w:unhideWhenUsed/>
    <w:rsid w:val="00BB4E81"/>
    <w:rPr>
      <w:color w:val="0000FF" w:themeColor="hyperlink"/>
      <w:u w:val="single"/>
    </w:rPr>
  </w:style>
  <w:style w:type="table" w:styleId="TableGrid">
    <w:name w:val="Table Grid"/>
    <w:basedOn w:val="TableNormal"/>
    <w:uiPriority w:val="59"/>
    <w:rsid w:val="00A16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4F86"/>
    <w:rPr>
      <w:color w:val="800080" w:themeColor="followedHyperlink"/>
      <w:u w:val="single"/>
    </w:rPr>
  </w:style>
  <w:style w:type="paragraph" w:styleId="Revision">
    <w:name w:val="Revision"/>
    <w:hidden/>
    <w:uiPriority w:val="99"/>
    <w:semiHidden/>
    <w:rsid w:val="007B1787"/>
    <w:pPr>
      <w:spacing w:after="0" w:line="240" w:lineRule="auto"/>
    </w:pPr>
  </w:style>
  <w:style w:type="paragraph" w:customStyle="1" w:styleId="p1">
    <w:name w:val="p1"/>
    <w:basedOn w:val="Normal"/>
    <w:rsid w:val="00BB6EB9"/>
    <w:pPr>
      <w:spacing w:after="0" w:line="240" w:lineRule="auto"/>
    </w:pPr>
    <w:rPr>
      <w:rFonts w:ascii="Calibri" w:hAnsi="Calibri" w:cs="Times New Roman"/>
      <w:sz w:val="17"/>
      <w:szCs w:val="17"/>
      <w:lang w:val="en-GB" w:eastAsia="en-GB"/>
    </w:rPr>
  </w:style>
  <w:style w:type="paragraph" w:customStyle="1" w:styleId="p2">
    <w:name w:val="p2"/>
    <w:basedOn w:val="Normal"/>
    <w:rsid w:val="00BB6EB9"/>
    <w:pPr>
      <w:spacing w:after="0" w:line="240" w:lineRule="auto"/>
    </w:pPr>
    <w:rPr>
      <w:rFonts w:ascii="Calibri" w:hAnsi="Calibri" w:cs="Times New Roman"/>
      <w:sz w:val="17"/>
      <w:szCs w:val="17"/>
      <w:lang w:val="en-GB" w:eastAsia="en-GB"/>
    </w:rPr>
  </w:style>
  <w:style w:type="character" w:customStyle="1" w:styleId="s1">
    <w:name w:val="s1"/>
    <w:basedOn w:val="DefaultParagraphFont"/>
    <w:rsid w:val="00BB6EB9"/>
    <w:rPr>
      <w:rFonts w:ascii="Calibri" w:hAnsi="Calibri" w:hint="default"/>
      <w:sz w:val="11"/>
      <w:szCs w:val="11"/>
    </w:rPr>
  </w:style>
  <w:style w:type="character" w:customStyle="1" w:styleId="apple-converted-space">
    <w:name w:val="apple-converted-space"/>
    <w:basedOn w:val="DefaultParagraphFont"/>
    <w:rsid w:val="00BB6EB9"/>
  </w:style>
  <w:style w:type="paragraph" w:styleId="NormalWeb">
    <w:name w:val="Normal (Web)"/>
    <w:basedOn w:val="Normal"/>
    <w:uiPriority w:val="99"/>
    <w:semiHidden/>
    <w:unhideWhenUsed/>
    <w:rsid w:val="00934851"/>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fault">
    <w:name w:val="Default"/>
    <w:rsid w:val="00B4091E"/>
    <w:pPr>
      <w:autoSpaceDE w:val="0"/>
      <w:autoSpaceDN w:val="0"/>
      <w:adjustRightInd w:val="0"/>
      <w:spacing w:after="0" w:line="240" w:lineRule="auto"/>
    </w:pPr>
    <w:rPr>
      <w:rFonts w:ascii="Calibri" w:hAnsi="Calibri" w:cs="Calibri"/>
      <w:color w:val="000000"/>
      <w:sz w:val="24"/>
      <w:szCs w:val="24"/>
      <w:lang w:val="fr-FR"/>
    </w:rPr>
  </w:style>
  <w:style w:type="paragraph" w:customStyle="1" w:styleId="h">
    <w:name w:val="h"/>
    <w:basedOn w:val="Normal"/>
    <w:uiPriority w:val="99"/>
    <w:rsid w:val="00692A0C"/>
    <w:pPr>
      <w:autoSpaceDE w:val="0"/>
      <w:autoSpaceDN w:val="0"/>
      <w:adjustRightInd w:val="0"/>
      <w:spacing w:after="0" w:line="280" w:lineRule="exact"/>
      <w:jc w:val="both"/>
    </w:pPr>
    <w:rPr>
      <w:rFonts w:ascii="Times New Roman" w:eastAsia="Times New Roman" w:hAnsi="Times New Roman" w:cs="Times New Roman"/>
      <w:sz w:val="24"/>
      <w:szCs w:val="20"/>
      <w:lang w:val="en-GB"/>
    </w:rPr>
  </w:style>
  <w:style w:type="character" w:customStyle="1" w:styleId="UnresolvedMention1">
    <w:name w:val="Unresolved Mention1"/>
    <w:basedOn w:val="DefaultParagraphFont"/>
    <w:uiPriority w:val="99"/>
    <w:semiHidden/>
    <w:unhideWhenUsed/>
    <w:rsid w:val="009E6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662008">
      <w:bodyDiv w:val="1"/>
      <w:marLeft w:val="0"/>
      <w:marRight w:val="0"/>
      <w:marTop w:val="0"/>
      <w:marBottom w:val="0"/>
      <w:divBdr>
        <w:top w:val="none" w:sz="0" w:space="0" w:color="auto"/>
        <w:left w:val="none" w:sz="0" w:space="0" w:color="auto"/>
        <w:bottom w:val="none" w:sz="0" w:space="0" w:color="auto"/>
        <w:right w:val="none" w:sz="0" w:space="0" w:color="auto"/>
      </w:divBdr>
    </w:div>
    <w:div w:id="291908813">
      <w:bodyDiv w:val="1"/>
      <w:marLeft w:val="0"/>
      <w:marRight w:val="0"/>
      <w:marTop w:val="0"/>
      <w:marBottom w:val="0"/>
      <w:divBdr>
        <w:top w:val="none" w:sz="0" w:space="0" w:color="auto"/>
        <w:left w:val="none" w:sz="0" w:space="0" w:color="auto"/>
        <w:bottom w:val="none" w:sz="0" w:space="0" w:color="auto"/>
        <w:right w:val="none" w:sz="0" w:space="0" w:color="auto"/>
      </w:divBdr>
    </w:div>
    <w:div w:id="454102484">
      <w:bodyDiv w:val="1"/>
      <w:marLeft w:val="0"/>
      <w:marRight w:val="0"/>
      <w:marTop w:val="0"/>
      <w:marBottom w:val="0"/>
      <w:divBdr>
        <w:top w:val="none" w:sz="0" w:space="0" w:color="auto"/>
        <w:left w:val="none" w:sz="0" w:space="0" w:color="auto"/>
        <w:bottom w:val="none" w:sz="0" w:space="0" w:color="auto"/>
        <w:right w:val="none" w:sz="0" w:space="0" w:color="auto"/>
      </w:divBdr>
    </w:div>
    <w:div w:id="555361911">
      <w:bodyDiv w:val="1"/>
      <w:marLeft w:val="0"/>
      <w:marRight w:val="0"/>
      <w:marTop w:val="0"/>
      <w:marBottom w:val="0"/>
      <w:divBdr>
        <w:top w:val="none" w:sz="0" w:space="0" w:color="auto"/>
        <w:left w:val="none" w:sz="0" w:space="0" w:color="auto"/>
        <w:bottom w:val="none" w:sz="0" w:space="0" w:color="auto"/>
        <w:right w:val="none" w:sz="0" w:space="0" w:color="auto"/>
      </w:divBdr>
    </w:div>
    <w:div w:id="719936976">
      <w:bodyDiv w:val="1"/>
      <w:marLeft w:val="0"/>
      <w:marRight w:val="0"/>
      <w:marTop w:val="0"/>
      <w:marBottom w:val="0"/>
      <w:divBdr>
        <w:top w:val="none" w:sz="0" w:space="0" w:color="auto"/>
        <w:left w:val="none" w:sz="0" w:space="0" w:color="auto"/>
        <w:bottom w:val="none" w:sz="0" w:space="0" w:color="auto"/>
        <w:right w:val="none" w:sz="0" w:space="0" w:color="auto"/>
      </w:divBdr>
    </w:div>
    <w:div w:id="1227104437">
      <w:bodyDiv w:val="1"/>
      <w:marLeft w:val="0"/>
      <w:marRight w:val="0"/>
      <w:marTop w:val="0"/>
      <w:marBottom w:val="0"/>
      <w:divBdr>
        <w:top w:val="none" w:sz="0" w:space="0" w:color="auto"/>
        <w:left w:val="none" w:sz="0" w:space="0" w:color="auto"/>
        <w:bottom w:val="none" w:sz="0" w:space="0" w:color="auto"/>
        <w:right w:val="none" w:sz="0" w:space="0" w:color="auto"/>
      </w:divBdr>
    </w:div>
    <w:div w:id="1920823000">
      <w:bodyDiv w:val="1"/>
      <w:marLeft w:val="0"/>
      <w:marRight w:val="0"/>
      <w:marTop w:val="0"/>
      <w:marBottom w:val="0"/>
      <w:divBdr>
        <w:top w:val="none" w:sz="0" w:space="0" w:color="auto"/>
        <w:left w:val="none" w:sz="0" w:space="0" w:color="auto"/>
        <w:bottom w:val="none" w:sz="0" w:space="0" w:color="auto"/>
        <w:right w:val="none" w:sz="0" w:space="0" w:color="auto"/>
      </w:divBdr>
    </w:div>
    <w:div w:id="1996759295">
      <w:bodyDiv w:val="1"/>
      <w:marLeft w:val="0"/>
      <w:marRight w:val="0"/>
      <w:marTop w:val="0"/>
      <w:marBottom w:val="0"/>
      <w:divBdr>
        <w:top w:val="none" w:sz="0" w:space="0" w:color="auto"/>
        <w:left w:val="none" w:sz="0" w:space="0" w:color="auto"/>
        <w:bottom w:val="none" w:sz="0" w:space="0" w:color="auto"/>
        <w:right w:val="none" w:sz="0" w:space="0" w:color="auto"/>
      </w:divBdr>
    </w:div>
    <w:div w:id="208537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flach@globalatomiccor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gr@globalatomiccorp.com" TargetMode="External"/><Relationship Id="rId4" Type="http://schemas.openxmlformats.org/officeDocument/2006/relationships/settings" Target="settings.xml"/><Relationship Id="rId9" Type="http://schemas.openxmlformats.org/officeDocument/2006/relationships/hyperlink" Target="http://www.GlobalAtomicCorp.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88C1AE-F0CD-4ED1-BFBD-1475BB9E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Tracy Josephs</cp:lastModifiedBy>
  <cp:revision>2</cp:revision>
  <cp:lastPrinted>2018-02-21T21:13:00Z</cp:lastPrinted>
  <dcterms:created xsi:type="dcterms:W3CDTF">2018-02-21T22:11:00Z</dcterms:created>
  <dcterms:modified xsi:type="dcterms:W3CDTF">2018-02-21T22:11:00Z</dcterms:modified>
</cp:coreProperties>
</file>