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DCF348" w14:textId="77777777" w:rsidR="00E754C4" w:rsidRPr="00B53BB5" w:rsidRDefault="00500A76">
      <w:pPr>
        <w:spacing w:before="9" w:line="130" w:lineRule="exact"/>
        <w:rPr>
          <w:sz w:val="13"/>
          <w:szCs w:val="13"/>
        </w:rPr>
      </w:pPr>
      <w:bookmarkStart w:id="0" w:name="_GoBack"/>
      <w:bookmarkEnd w:id="0"/>
      <w:r w:rsidRPr="00B53BB5">
        <w:rPr>
          <w:noProof/>
          <w:sz w:val="13"/>
          <w:szCs w:val="13"/>
        </w:rPr>
        <w:drawing>
          <wp:anchor distT="0" distB="0" distL="114300" distR="114300" simplePos="0" relativeHeight="251658752" behindDoc="0" locked="0" layoutInCell="1" allowOverlap="1" wp14:anchorId="28281D3B" wp14:editId="74310E85">
            <wp:simplePos x="0" y="0"/>
            <wp:positionH relativeFrom="column">
              <wp:posOffset>396599</wp:posOffset>
            </wp:positionH>
            <wp:positionV relativeFrom="paragraph">
              <wp:posOffset>54610</wp:posOffset>
            </wp:positionV>
            <wp:extent cx="2314575" cy="542925"/>
            <wp:effectExtent l="0" t="0" r="0" b="0"/>
            <wp:wrapNone/>
            <wp:docPr id="6" name="Picture 5" descr="EMC Group Logo_1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C Group Logo_1000.png"/>
                    <pic:cNvPicPr/>
                  </pic:nvPicPr>
                  <pic:blipFill>
                    <a:blip r:embed="rId8" cstate="print"/>
                    <a:stretch>
                      <a:fillRect/>
                    </a:stretch>
                  </pic:blipFill>
                  <pic:spPr>
                    <a:xfrm>
                      <a:off x="0" y="0"/>
                      <a:ext cx="2314575" cy="542925"/>
                    </a:xfrm>
                    <a:prstGeom prst="rect">
                      <a:avLst/>
                    </a:prstGeom>
                  </pic:spPr>
                </pic:pic>
              </a:graphicData>
            </a:graphic>
          </wp:anchor>
        </w:drawing>
      </w:r>
    </w:p>
    <w:p w14:paraId="506E0C1D" w14:textId="77777777" w:rsidR="00E754C4" w:rsidRPr="00B53BB5" w:rsidRDefault="00E754C4" w:rsidP="007C0C9E">
      <w:pPr>
        <w:spacing w:line="200" w:lineRule="exact"/>
        <w:ind w:left="540"/>
        <w:rPr>
          <w:sz w:val="20"/>
          <w:szCs w:val="20"/>
        </w:rPr>
      </w:pPr>
    </w:p>
    <w:p w14:paraId="28D39139" w14:textId="77777777" w:rsidR="00E754C4" w:rsidRPr="00B53BB5" w:rsidRDefault="00E754C4">
      <w:pPr>
        <w:spacing w:line="200" w:lineRule="exact"/>
        <w:rPr>
          <w:sz w:val="20"/>
          <w:szCs w:val="20"/>
        </w:rPr>
      </w:pPr>
    </w:p>
    <w:p w14:paraId="6A333252" w14:textId="51ACC2CB" w:rsidR="00E029C7" w:rsidRPr="00B53BB5" w:rsidRDefault="00FF5DF7" w:rsidP="00333D08">
      <w:pPr>
        <w:pStyle w:val="BodyText"/>
        <w:tabs>
          <w:tab w:val="left" w:pos="7740"/>
        </w:tabs>
        <w:spacing w:before="2" w:line="250" w:lineRule="exact"/>
        <w:ind w:left="1080" w:firstLine="0"/>
        <w:rPr>
          <w:rFonts w:ascii="Arial" w:hAnsi="Arial" w:cs="Arial"/>
          <w:sz w:val="20"/>
          <w:szCs w:val="20"/>
        </w:rPr>
      </w:pPr>
      <w:r w:rsidRPr="00B53BB5">
        <w:rPr>
          <w:rFonts w:ascii="Arial" w:hAnsi="Arial" w:cs="Arial"/>
          <w:spacing w:val="-1"/>
          <w:sz w:val="20"/>
          <w:szCs w:val="20"/>
        </w:rPr>
        <w:tab/>
      </w:r>
    </w:p>
    <w:p w14:paraId="3403EB9D" w14:textId="77777777" w:rsidR="0096106E" w:rsidRDefault="0096106E" w:rsidP="005F176E">
      <w:pPr>
        <w:pStyle w:val="BodyText"/>
        <w:tabs>
          <w:tab w:val="left" w:pos="7740"/>
          <w:tab w:val="left" w:pos="8550"/>
        </w:tabs>
        <w:spacing w:before="2"/>
        <w:ind w:left="720" w:firstLine="0"/>
        <w:rPr>
          <w:rFonts w:ascii="Arial" w:hAnsi="Arial" w:cs="Arial"/>
          <w:b/>
          <w:spacing w:val="-2"/>
          <w:sz w:val="24"/>
          <w:szCs w:val="24"/>
        </w:rPr>
      </w:pPr>
    </w:p>
    <w:p w14:paraId="1572BAC8" w14:textId="77777777" w:rsidR="0096106E" w:rsidRPr="00FB358D" w:rsidRDefault="0096106E" w:rsidP="005F176E">
      <w:pPr>
        <w:pStyle w:val="BodyText"/>
        <w:tabs>
          <w:tab w:val="left" w:pos="7740"/>
          <w:tab w:val="left" w:pos="8550"/>
        </w:tabs>
        <w:spacing w:before="2"/>
        <w:ind w:left="720" w:firstLine="0"/>
        <w:rPr>
          <w:rFonts w:ascii="Arial" w:hAnsi="Arial" w:cs="Arial"/>
          <w:b/>
          <w:spacing w:val="-2"/>
          <w:sz w:val="20"/>
          <w:szCs w:val="20"/>
        </w:rPr>
      </w:pPr>
    </w:p>
    <w:p w14:paraId="6D744ED7" w14:textId="22017330" w:rsidR="0096106E" w:rsidRDefault="0096106E" w:rsidP="005F176E">
      <w:pPr>
        <w:pStyle w:val="BodyText"/>
        <w:tabs>
          <w:tab w:val="left" w:pos="7740"/>
          <w:tab w:val="left" w:pos="8550"/>
        </w:tabs>
        <w:spacing w:before="2"/>
        <w:ind w:left="720" w:firstLine="0"/>
        <w:rPr>
          <w:rFonts w:ascii="Arial" w:hAnsi="Arial" w:cs="Arial"/>
          <w:spacing w:val="-2"/>
          <w:sz w:val="24"/>
          <w:szCs w:val="24"/>
        </w:rPr>
      </w:pPr>
      <w:r w:rsidRPr="00333D08">
        <w:rPr>
          <w:rFonts w:ascii="Arial" w:hAnsi="Arial" w:cs="Arial"/>
          <w:spacing w:val="-2"/>
          <w:sz w:val="24"/>
          <w:szCs w:val="24"/>
        </w:rPr>
        <w:t>NEWS RELEASE</w:t>
      </w:r>
    </w:p>
    <w:p w14:paraId="2CACAD43" w14:textId="77777777" w:rsidR="0096106E" w:rsidRPr="00FB358D" w:rsidRDefault="0096106E" w:rsidP="005F176E">
      <w:pPr>
        <w:pStyle w:val="BodyText"/>
        <w:tabs>
          <w:tab w:val="left" w:pos="7740"/>
          <w:tab w:val="left" w:pos="8550"/>
        </w:tabs>
        <w:spacing w:before="2"/>
        <w:ind w:left="720" w:firstLine="0"/>
        <w:rPr>
          <w:rFonts w:ascii="Arial" w:hAnsi="Arial" w:cs="Arial"/>
          <w:spacing w:val="-2"/>
          <w:sz w:val="20"/>
          <w:szCs w:val="20"/>
        </w:rPr>
      </w:pPr>
    </w:p>
    <w:p w14:paraId="03268E4F" w14:textId="1D095AAE" w:rsidR="00D513DD" w:rsidRPr="00401D39" w:rsidRDefault="00F2400C" w:rsidP="005F176E">
      <w:pPr>
        <w:pStyle w:val="BodyText"/>
        <w:tabs>
          <w:tab w:val="left" w:pos="7740"/>
          <w:tab w:val="left" w:pos="8550"/>
        </w:tabs>
        <w:spacing w:before="2"/>
        <w:ind w:left="720" w:firstLine="0"/>
        <w:rPr>
          <w:rFonts w:ascii="Arial" w:hAnsi="Arial" w:cs="Arial"/>
          <w:b/>
          <w:sz w:val="24"/>
          <w:szCs w:val="24"/>
        </w:rPr>
      </w:pPr>
      <w:r w:rsidRPr="00B53BB5">
        <w:rPr>
          <w:rFonts w:ascii="Arial" w:hAnsi="Arial" w:cs="Arial"/>
          <w:b/>
          <w:spacing w:val="-2"/>
          <w:sz w:val="24"/>
          <w:szCs w:val="24"/>
        </w:rPr>
        <w:t>E</w:t>
      </w:r>
      <w:r w:rsidRPr="00B53BB5">
        <w:rPr>
          <w:rFonts w:ascii="Arial" w:hAnsi="Arial" w:cs="Arial"/>
          <w:b/>
          <w:spacing w:val="-1"/>
          <w:sz w:val="24"/>
          <w:szCs w:val="24"/>
        </w:rPr>
        <w:t>M</w:t>
      </w:r>
      <w:r w:rsidRPr="00B53BB5">
        <w:rPr>
          <w:rFonts w:ascii="Arial" w:hAnsi="Arial" w:cs="Arial"/>
          <w:b/>
          <w:sz w:val="24"/>
          <w:szCs w:val="24"/>
        </w:rPr>
        <w:t>C</w:t>
      </w:r>
      <w:r w:rsidRPr="00B53BB5">
        <w:rPr>
          <w:rFonts w:ascii="Arial" w:hAnsi="Arial" w:cs="Arial"/>
          <w:b/>
          <w:spacing w:val="-1"/>
          <w:sz w:val="24"/>
          <w:szCs w:val="24"/>
        </w:rPr>
        <w:t xml:space="preserve"> Insuranc</w:t>
      </w:r>
      <w:r w:rsidRPr="00B53BB5">
        <w:rPr>
          <w:rFonts w:ascii="Arial" w:hAnsi="Arial" w:cs="Arial"/>
          <w:b/>
          <w:sz w:val="24"/>
          <w:szCs w:val="24"/>
        </w:rPr>
        <w:t>e</w:t>
      </w:r>
      <w:r w:rsidRPr="00B53BB5">
        <w:rPr>
          <w:rFonts w:ascii="Arial" w:hAnsi="Arial" w:cs="Arial"/>
          <w:b/>
          <w:spacing w:val="-1"/>
          <w:sz w:val="24"/>
          <w:szCs w:val="24"/>
        </w:rPr>
        <w:t xml:space="preserve"> Grou</w:t>
      </w:r>
      <w:r w:rsidRPr="00B53BB5">
        <w:rPr>
          <w:rFonts w:ascii="Arial" w:hAnsi="Arial" w:cs="Arial"/>
          <w:b/>
          <w:sz w:val="24"/>
          <w:szCs w:val="24"/>
        </w:rPr>
        <w:t xml:space="preserve">p </w:t>
      </w:r>
      <w:r w:rsidRPr="00B53BB5">
        <w:rPr>
          <w:rFonts w:ascii="Arial" w:hAnsi="Arial" w:cs="Arial"/>
          <w:b/>
          <w:spacing w:val="-1"/>
          <w:sz w:val="24"/>
          <w:szCs w:val="24"/>
        </w:rPr>
        <w:t>Inc</w:t>
      </w:r>
      <w:r w:rsidRPr="00B53BB5">
        <w:rPr>
          <w:rFonts w:ascii="Arial" w:hAnsi="Arial" w:cs="Arial"/>
          <w:b/>
          <w:sz w:val="24"/>
          <w:szCs w:val="24"/>
        </w:rPr>
        <w:t>. Reports</w:t>
      </w:r>
      <w:r w:rsidR="00DA7702" w:rsidRPr="00B53BB5">
        <w:rPr>
          <w:rFonts w:ascii="Arial" w:hAnsi="Arial" w:cs="Arial"/>
          <w:b/>
          <w:sz w:val="24"/>
          <w:szCs w:val="24"/>
        </w:rPr>
        <w:t xml:space="preserve"> </w:t>
      </w:r>
      <w:r w:rsidR="0043761B">
        <w:rPr>
          <w:rFonts w:ascii="Arial" w:hAnsi="Arial" w:cs="Arial"/>
          <w:b/>
          <w:sz w:val="24"/>
          <w:szCs w:val="24"/>
        </w:rPr>
        <w:t>201</w:t>
      </w:r>
      <w:r w:rsidR="0096106E">
        <w:rPr>
          <w:rFonts w:ascii="Arial" w:hAnsi="Arial" w:cs="Arial"/>
          <w:b/>
          <w:sz w:val="24"/>
          <w:szCs w:val="24"/>
        </w:rPr>
        <w:t>7</w:t>
      </w:r>
      <w:r w:rsidRPr="00B53BB5">
        <w:rPr>
          <w:rFonts w:ascii="Arial" w:hAnsi="Arial" w:cs="Arial"/>
          <w:spacing w:val="-1"/>
          <w:sz w:val="20"/>
          <w:szCs w:val="20"/>
        </w:rPr>
        <w:t xml:space="preserve"> </w:t>
      </w:r>
      <w:r w:rsidR="0043761B">
        <w:rPr>
          <w:rFonts w:ascii="Arial" w:hAnsi="Arial" w:cs="Arial"/>
          <w:b/>
          <w:sz w:val="24"/>
          <w:szCs w:val="24"/>
        </w:rPr>
        <w:t xml:space="preserve">First </w:t>
      </w:r>
      <w:r w:rsidR="0009328D">
        <w:rPr>
          <w:rFonts w:ascii="Arial" w:hAnsi="Arial" w:cs="Arial"/>
          <w:b/>
          <w:sz w:val="24"/>
          <w:szCs w:val="24"/>
        </w:rPr>
        <w:t xml:space="preserve">Quarter </w:t>
      </w:r>
      <w:r w:rsidR="000A2FE6" w:rsidRPr="00B53BB5">
        <w:rPr>
          <w:rFonts w:ascii="Arial" w:hAnsi="Arial" w:cs="Arial"/>
          <w:b/>
          <w:sz w:val="24"/>
          <w:szCs w:val="24"/>
        </w:rPr>
        <w:t>Results</w:t>
      </w:r>
      <w:r w:rsidR="007216C0">
        <w:rPr>
          <w:rFonts w:ascii="Arial" w:hAnsi="Arial" w:cs="Arial"/>
          <w:b/>
          <w:sz w:val="24"/>
          <w:szCs w:val="24"/>
        </w:rPr>
        <w:t>, a</w:t>
      </w:r>
      <w:r w:rsidR="00A04165">
        <w:rPr>
          <w:rFonts w:ascii="Arial" w:hAnsi="Arial" w:cs="Arial"/>
          <w:b/>
          <w:sz w:val="24"/>
          <w:szCs w:val="24"/>
        </w:rPr>
        <w:t>nd Announces a Presentation by M</w:t>
      </w:r>
      <w:r w:rsidR="007216C0">
        <w:rPr>
          <w:rFonts w:ascii="Arial" w:hAnsi="Arial" w:cs="Arial"/>
          <w:b/>
          <w:sz w:val="24"/>
          <w:szCs w:val="24"/>
        </w:rPr>
        <w:t>anagement at the 2017 East Coast IDEAS Investor Conference</w:t>
      </w:r>
    </w:p>
    <w:p w14:paraId="52B4339E" w14:textId="77777777" w:rsidR="00E029C7" w:rsidRPr="00FB358D" w:rsidRDefault="00E029C7" w:rsidP="005F176E">
      <w:pPr>
        <w:pStyle w:val="BodyText"/>
        <w:tabs>
          <w:tab w:val="left" w:pos="7740"/>
          <w:tab w:val="left" w:pos="8550"/>
        </w:tabs>
        <w:spacing w:before="2"/>
        <w:ind w:left="720" w:firstLine="0"/>
        <w:rPr>
          <w:rFonts w:ascii="Arial" w:hAnsi="Arial" w:cs="Arial"/>
          <w:sz w:val="20"/>
          <w:szCs w:val="20"/>
        </w:rPr>
      </w:pPr>
    </w:p>
    <w:p w14:paraId="685D1948" w14:textId="0AE8819B" w:rsidR="00CF1F6B" w:rsidRPr="00942EEC" w:rsidRDefault="0043761B" w:rsidP="005F176E">
      <w:pPr>
        <w:pStyle w:val="BodyText"/>
        <w:ind w:left="720" w:firstLine="4"/>
        <w:rPr>
          <w:rFonts w:ascii="Arial" w:hAnsi="Arial" w:cs="Arial"/>
          <w:b/>
          <w:u w:val="single"/>
        </w:rPr>
      </w:pPr>
      <w:r w:rsidRPr="00942EEC">
        <w:rPr>
          <w:rFonts w:ascii="Arial" w:hAnsi="Arial" w:cs="Arial"/>
          <w:b/>
          <w:u w:val="single"/>
        </w:rPr>
        <w:t xml:space="preserve">First </w:t>
      </w:r>
      <w:r w:rsidR="00CF1F6B" w:rsidRPr="00942EEC">
        <w:rPr>
          <w:rFonts w:ascii="Arial" w:hAnsi="Arial" w:cs="Arial"/>
          <w:b/>
          <w:u w:val="single"/>
        </w:rPr>
        <w:t xml:space="preserve">Quarter Ended </w:t>
      </w:r>
      <w:r w:rsidR="00152977" w:rsidRPr="00942EEC">
        <w:rPr>
          <w:rFonts w:ascii="Arial" w:hAnsi="Arial" w:cs="Arial"/>
          <w:b/>
          <w:u w:val="single"/>
        </w:rPr>
        <w:t>March</w:t>
      </w:r>
      <w:r w:rsidR="00AE5FB1" w:rsidRPr="00942EEC">
        <w:rPr>
          <w:rFonts w:ascii="Arial" w:hAnsi="Arial" w:cs="Arial"/>
          <w:b/>
          <w:u w:val="single"/>
        </w:rPr>
        <w:t xml:space="preserve"> 31</w:t>
      </w:r>
      <w:r w:rsidR="00CF1F6B" w:rsidRPr="00942EEC">
        <w:rPr>
          <w:rFonts w:ascii="Arial" w:hAnsi="Arial" w:cs="Arial"/>
          <w:b/>
          <w:u w:val="single"/>
        </w:rPr>
        <w:t>, 201</w:t>
      </w:r>
      <w:r w:rsidR="0096106E" w:rsidRPr="00942EEC">
        <w:rPr>
          <w:rFonts w:ascii="Arial" w:hAnsi="Arial" w:cs="Arial"/>
          <w:b/>
          <w:u w:val="single"/>
        </w:rPr>
        <w:t>7</w:t>
      </w:r>
    </w:p>
    <w:p w14:paraId="25311C1B" w14:textId="4A46C79A" w:rsidR="007216C0" w:rsidRPr="00942EEC" w:rsidRDefault="00942EEC" w:rsidP="005F176E">
      <w:pPr>
        <w:pStyle w:val="BodyText"/>
        <w:ind w:left="720" w:firstLine="4"/>
        <w:rPr>
          <w:rFonts w:ascii="Arial" w:hAnsi="Arial" w:cs="Arial"/>
        </w:rPr>
      </w:pPr>
      <w:r w:rsidRPr="00942EEC">
        <w:rPr>
          <w:rFonts w:ascii="Arial" w:hAnsi="Arial" w:cs="Arial"/>
        </w:rPr>
        <w:t>Net Income Per Share – $0.32</w:t>
      </w:r>
    </w:p>
    <w:p w14:paraId="680FFED7" w14:textId="5587A3D9" w:rsidR="007216C0" w:rsidRPr="00942EEC" w:rsidRDefault="007216C0" w:rsidP="005F176E">
      <w:pPr>
        <w:pStyle w:val="BodyText"/>
        <w:ind w:left="720" w:firstLine="4"/>
        <w:rPr>
          <w:rFonts w:ascii="Arial" w:hAnsi="Arial" w:cs="Arial"/>
        </w:rPr>
      </w:pPr>
      <w:r w:rsidRPr="00942EEC">
        <w:rPr>
          <w:rFonts w:ascii="Arial" w:hAnsi="Arial" w:cs="Arial"/>
        </w:rPr>
        <w:t>Non-GAAP Operating Income Per Share</w:t>
      </w:r>
      <w:r w:rsidRPr="00942EEC">
        <w:rPr>
          <w:rFonts w:ascii="Arial" w:hAnsi="Arial" w:cs="Arial"/>
          <w:vertAlign w:val="superscript"/>
        </w:rPr>
        <w:t>1</w:t>
      </w:r>
      <w:r w:rsidR="00942EEC" w:rsidRPr="00942EEC">
        <w:rPr>
          <w:rFonts w:ascii="Arial" w:hAnsi="Arial" w:cs="Arial"/>
        </w:rPr>
        <w:t xml:space="preserve"> – $0.34</w:t>
      </w:r>
    </w:p>
    <w:p w14:paraId="48B05F70" w14:textId="31274371" w:rsidR="007216C0" w:rsidRPr="00942EEC" w:rsidRDefault="00942EEC" w:rsidP="005F176E">
      <w:pPr>
        <w:pStyle w:val="BodyText"/>
        <w:ind w:left="720" w:firstLine="4"/>
        <w:rPr>
          <w:rFonts w:ascii="Arial" w:hAnsi="Arial" w:cs="Arial"/>
        </w:rPr>
      </w:pPr>
      <w:r w:rsidRPr="00942EEC">
        <w:rPr>
          <w:rFonts w:ascii="Arial" w:hAnsi="Arial" w:cs="Arial"/>
        </w:rPr>
        <w:t>Net Realized Investment Losse</w:t>
      </w:r>
      <w:r w:rsidR="007216C0" w:rsidRPr="00942EEC">
        <w:rPr>
          <w:rFonts w:ascii="Arial" w:hAnsi="Arial" w:cs="Arial"/>
        </w:rPr>
        <w:t>s Per Share – $0.</w:t>
      </w:r>
      <w:r w:rsidRPr="00942EEC">
        <w:rPr>
          <w:rFonts w:ascii="Arial" w:hAnsi="Arial" w:cs="Arial"/>
        </w:rPr>
        <w:t>02</w:t>
      </w:r>
    </w:p>
    <w:p w14:paraId="314A23A8" w14:textId="76DAAAFB" w:rsidR="007216C0" w:rsidRPr="00942EEC" w:rsidRDefault="007216C0" w:rsidP="005F176E">
      <w:pPr>
        <w:pStyle w:val="BodyText"/>
        <w:ind w:left="720" w:firstLine="4"/>
        <w:rPr>
          <w:rFonts w:ascii="Arial" w:hAnsi="Arial" w:cs="Arial"/>
        </w:rPr>
      </w:pPr>
      <w:r w:rsidRPr="00942EEC">
        <w:rPr>
          <w:rFonts w:ascii="Arial" w:hAnsi="Arial" w:cs="Arial"/>
        </w:rPr>
        <w:t>Catastrophe and Storm Losses Per Share – $0.</w:t>
      </w:r>
      <w:r w:rsidR="00942EEC" w:rsidRPr="00942EEC">
        <w:rPr>
          <w:rFonts w:ascii="Arial" w:hAnsi="Arial" w:cs="Arial"/>
        </w:rPr>
        <w:t>41</w:t>
      </w:r>
    </w:p>
    <w:p w14:paraId="2842D7DE" w14:textId="16A22EDA" w:rsidR="007216C0" w:rsidRDefault="00942EEC" w:rsidP="005F176E">
      <w:pPr>
        <w:pStyle w:val="BodyText"/>
        <w:ind w:left="720" w:firstLine="4"/>
        <w:rPr>
          <w:rFonts w:ascii="Arial" w:hAnsi="Arial" w:cs="Arial"/>
        </w:rPr>
      </w:pPr>
      <w:r w:rsidRPr="00942EEC">
        <w:rPr>
          <w:rFonts w:ascii="Arial" w:hAnsi="Arial" w:cs="Arial"/>
        </w:rPr>
        <w:t>GAAP Combined Ratio – 100.5</w:t>
      </w:r>
      <w:r w:rsidR="007216C0" w:rsidRPr="00942EEC">
        <w:rPr>
          <w:rFonts w:ascii="Arial" w:hAnsi="Arial" w:cs="Arial"/>
        </w:rPr>
        <w:t xml:space="preserve"> percent</w:t>
      </w:r>
    </w:p>
    <w:p w14:paraId="5AF0D329" w14:textId="77777777" w:rsidR="00F33566" w:rsidRPr="00FB358D" w:rsidRDefault="00F33566" w:rsidP="005F176E">
      <w:pPr>
        <w:pStyle w:val="BodyText"/>
        <w:ind w:left="720" w:firstLine="4"/>
        <w:rPr>
          <w:rFonts w:ascii="Arial" w:hAnsi="Arial" w:cs="Arial"/>
          <w:sz w:val="20"/>
          <w:szCs w:val="20"/>
        </w:rPr>
      </w:pPr>
    </w:p>
    <w:p w14:paraId="61A24DF3" w14:textId="75D23C17" w:rsidR="00CF1F6B" w:rsidRPr="00B53BB5" w:rsidRDefault="0000037B" w:rsidP="005F176E">
      <w:pPr>
        <w:pStyle w:val="BodyText"/>
        <w:ind w:left="720" w:firstLine="4"/>
        <w:rPr>
          <w:rFonts w:ascii="Arial" w:hAnsi="Arial" w:cs="Arial"/>
          <w:b/>
        </w:rPr>
      </w:pPr>
      <w:r>
        <w:rPr>
          <w:rFonts w:ascii="Arial" w:hAnsi="Arial" w:cs="Arial"/>
          <w:b/>
        </w:rPr>
        <w:t xml:space="preserve">Reaffirming </w:t>
      </w:r>
      <w:r w:rsidR="004D27AC" w:rsidRPr="00B53BB5">
        <w:rPr>
          <w:rFonts w:ascii="Arial" w:hAnsi="Arial" w:cs="Arial"/>
          <w:b/>
        </w:rPr>
        <w:t>201</w:t>
      </w:r>
      <w:r w:rsidR="0096106E">
        <w:rPr>
          <w:rFonts w:ascii="Arial" w:hAnsi="Arial" w:cs="Arial"/>
          <w:b/>
        </w:rPr>
        <w:t>7</w:t>
      </w:r>
      <w:r w:rsidR="004D27AC" w:rsidRPr="00B53BB5">
        <w:rPr>
          <w:rFonts w:ascii="Arial" w:hAnsi="Arial" w:cs="Arial"/>
          <w:b/>
        </w:rPr>
        <w:t xml:space="preserve"> </w:t>
      </w:r>
      <w:r w:rsidR="00545759">
        <w:rPr>
          <w:rFonts w:ascii="Arial" w:hAnsi="Arial" w:cs="Arial"/>
          <w:b/>
        </w:rPr>
        <w:t xml:space="preserve">Non-GAAP </w:t>
      </w:r>
      <w:r w:rsidR="004D27AC" w:rsidRPr="00B53BB5">
        <w:rPr>
          <w:rFonts w:ascii="Arial" w:hAnsi="Arial" w:cs="Arial"/>
          <w:b/>
        </w:rPr>
        <w:t xml:space="preserve">Operating Income </w:t>
      </w:r>
      <w:r w:rsidR="004D27AC" w:rsidRPr="000C5523">
        <w:rPr>
          <w:rFonts w:ascii="Arial" w:hAnsi="Arial" w:cs="Arial"/>
          <w:b/>
        </w:rPr>
        <w:t xml:space="preserve">Guidance – </w:t>
      </w:r>
      <w:r w:rsidR="004D27AC" w:rsidRPr="0000037B">
        <w:rPr>
          <w:rFonts w:ascii="Arial" w:hAnsi="Arial" w:cs="Arial"/>
          <w:b/>
        </w:rPr>
        <w:t>$</w:t>
      </w:r>
      <w:r w:rsidR="00C82311" w:rsidRPr="0000037B">
        <w:rPr>
          <w:rFonts w:ascii="Arial" w:hAnsi="Arial" w:cs="Arial"/>
          <w:b/>
        </w:rPr>
        <w:t>1.</w:t>
      </w:r>
      <w:r w:rsidR="00A77DE1" w:rsidRPr="0000037B">
        <w:rPr>
          <w:rFonts w:ascii="Arial" w:hAnsi="Arial" w:cs="Arial"/>
          <w:b/>
        </w:rPr>
        <w:t xml:space="preserve">35 </w:t>
      </w:r>
      <w:r w:rsidR="00215C4B" w:rsidRPr="0000037B">
        <w:rPr>
          <w:rFonts w:ascii="Arial" w:hAnsi="Arial" w:cs="Arial"/>
          <w:b/>
        </w:rPr>
        <w:t xml:space="preserve">to </w:t>
      </w:r>
      <w:r w:rsidR="004D27AC" w:rsidRPr="0000037B">
        <w:rPr>
          <w:rFonts w:ascii="Arial" w:hAnsi="Arial" w:cs="Arial"/>
          <w:b/>
        </w:rPr>
        <w:t>$</w:t>
      </w:r>
      <w:r w:rsidR="000C5523" w:rsidRPr="0000037B">
        <w:rPr>
          <w:rFonts w:ascii="Arial" w:hAnsi="Arial" w:cs="Arial"/>
          <w:b/>
        </w:rPr>
        <w:t>1.</w:t>
      </w:r>
      <w:r w:rsidR="00545759" w:rsidRPr="0000037B">
        <w:rPr>
          <w:rFonts w:ascii="Arial" w:hAnsi="Arial" w:cs="Arial"/>
          <w:b/>
        </w:rPr>
        <w:t>55</w:t>
      </w:r>
      <w:r w:rsidR="00215C4B" w:rsidRPr="000C5523">
        <w:rPr>
          <w:rFonts w:ascii="Arial" w:hAnsi="Arial" w:cs="Arial"/>
          <w:b/>
        </w:rPr>
        <w:t xml:space="preserve"> per share</w:t>
      </w:r>
    </w:p>
    <w:p w14:paraId="2A9557A5" w14:textId="77777777" w:rsidR="004D27AC" w:rsidRPr="00FB358D" w:rsidRDefault="004D27AC" w:rsidP="005F176E">
      <w:pPr>
        <w:pStyle w:val="BodyText"/>
        <w:ind w:left="720" w:firstLine="4"/>
        <w:rPr>
          <w:rFonts w:ascii="Arial" w:hAnsi="Arial" w:cs="Arial"/>
          <w:sz w:val="20"/>
          <w:szCs w:val="20"/>
        </w:rPr>
      </w:pPr>
    </w:p>
    <w:p w14:paraId="06D84259" w14:textId="1F7E562C" w:rsidR="00D14463" w:rsidRDefault="00F57F30" w:rsidP="005F176E">
      <w:pPr>
        <w:widowControl/>
        <w:autoSpaceDE w:val="0"/>
        <w:autoSpaceDN w:val="0"/>
        <w:adjustRightInd w:val="0"/>
        <w:ind w:left="720" w:firstLine="4"/>
        <w:rPr>
          <w:rFonts w:ascii="Arial" w:hAnsi="Arial" w:cs="Arial"/>
        </w:rPr>
      </w:pPr>
      <w:r w:rsidRPr="00B53BB5">
        <w:rPr>
          <w:rFonts w:ascii="Arial" w:hAnsi="Arial" w:cs="Arial"/>
        </w:rPr>
        <w:t xml:space="preserve">DES MOINES, Iowa </w:t>
      </w:r>
      <w:r w:rsidRPr="00BB3882">
        <w:rPr>
          <w:rFonts w:ascii="Arial" w:hAnsi="Arial" w:cs="Arial"/>
        </w:rPr>
        <w:t>(</w:t>
      </w:r>
      <w:r w:rsidR="00D82891" w:rsidRPr="00BB3882">
        <w:rPr>
          <w:rFonts w:ascii="Arial" w:hAnsi="Arial" w:cs="Arial"/>
        </w:rPr>
        <w:t xml:space="preserve">May </w:t>
      </w:r>
      <w:r w:rsidR="00545759" w:rsidRPr="00BB3882">
        <w:rPr>
          <w:rFonts w:ascii="Arial" w:hAnsi="Arial" w:cs="Arial"/>
        </w:rPr>
        <w:t>5</w:t>
      </w:r>
      <w:r w:rsidRPr="00BB3882">
        <w:rPr>
          <w:rFonts w:ascii="Arial" w:hAnsi="Arial" w:cs="Arial"/>
        </w:rPr>
        <w:t>, 201</w:t>
      </w:r>
      <w:r w:rsidR="0096106E" w:rsidRPr="00BB3882">
        <w:rPr>
          <w:rFonts w:ascii="Arial" w:hAnsi="Arial" w:cs="Arial"/>
        </w:rPr>
        <w:t>7</w:t>
      </w:r>
      <w:r w:rsidR="00D8374A" w:rsidRPr="00BB3882">
        <w:rPr>
          <w:rFonts w:ascii="Arial" w:hAnsi="Arial" w:cs="Arial"/>
        </w:rPr>
        <w:t>) -</w:t>
      </w:r>
      <w:r w:rsidR="00D8374A" w:rsidRPr="00723712">
        <w:rPr>
          <w:rFonts w:ascii="Arial" w:hAnsi="Arial" w:cs="Arial"/>
        </w:rPr>
        <w:t xml:space="preserve"> EMC Insurance Group Inc. (NASDAQ</w:t>
      </w:r>
      <w:r w:rsidR="007672C1">
        <w:rPr>
          <w:rFonts w:ascii="Arial" w:hAnsi="Arial" w:cs="Arial"/>
        </w:rPr>
        <w:t>:EMCI)</w:t>
      </w:r>
      <w:r w:rsidR="00F65DD7">
        <w:rPr>
          <w:rFonts w:ascii="Arial" w:hAnsi="Arial" w:cs="Arial"/>
        </w:rPr>
        <w:t xml:space="preserve"> </w:t>
      </w:r>
      <w:r w:rsidR="007672C1">
        <w:rPr>
          <w:rFonts w:ascii="Arial" w:hAnsi="Arial" w:cs="Arial"/>
        </w:rPr>
        <w:t>(</w:t>
      </w:r>
      <w:r w:rsidR="00D82891">
        <w:rPr>
          <w:rFonts w:ascii="Arial" w:hAnsi="Arial" w:cs="Arial"/>
        </w:rPr>
        <w:t xml:space="preserve">the </w:t>
      </w:r>
      <w:r w:rsidR="007672C1">
        <w:rPr>
          <w:rFonts w:ascii="Arial" w:hAnsi="Arial" w:cs="Arial"/>
        </w:rPr>
        <w:t>“</w:t>
      </w:r>
      <w:r w:rsidR="00D82891">
        <w:rPr>
          <w:rFonts w:ascii="Arial" w:hAnsi="Arial" w:cs="Arial"/>
        </w:rPr>
        <w:t>Company</w:t>
      </w:r>
      <w:r w:rsidR="007672C1">
        <w:rPr>
          <w:rFonts w:ascii="Arial" w:hAnsi="Arial" w:cs="Arial"/>
        </w:rPr>
        <w:t>”),</w:t>
      </w:r>
      <w:r w:rsidR="00D82891">
        <w:rPr>
          <w:rFonts w:ascii="Arial" w:hAnsi="Arial" w:cs="Arial"/>
        </w:rPr>
        <w:t xml:space="preserve"> </w:t>
      </w:r>
      <w:r w:rsidR="00BD239E" w:rsidRPr="00723712">
        <w:rPr>
          <w:rFonts w:ascii="Arial" w:hAnsi="Arial" w:cs="Arial"/>
        </w:rPr>
        <w:t>today reported</w:t>
      </w:r>
      <w:r w:rsidR="00545759">
        <w:rPr>
          <w:rFonts w:ascii="Arial" w:hAnsi="Arial" w:cs="Arial"/>
        </w:rPr>
        <w:t xml:space="preserve"> n</w:t>
      </w:r>
      <w:r w:rsidR="00545759" w:rsidRPr="00B53BB5">
        <w:rPr>
          <w:rFonts w:ascii="Arial" w:hAnsi="Arial" w:cs="Arial"/>
        </w:rPr>
        <w:t>et income</w:t>
      </w:r>
      <w:r w:rsidR="00545759">
        <w:rPr>
          <w:rFonts w:ascii="Arial" w:hAnsi="Arial" w:cs="Arial"/>
        </w:rPr>
        <w:t xml:space="preserve"> of</w:t>
      </w:r>
      <w:r w:rsidR="00545759" w:rsidRPr="00F72FB0">
        <w:rPr>
          <w:rFonts w:ascii="Arial" w:hAnsi="Arial" w:cs="Arial"/>
        </w:rPr>
        <w:t xml:space="preserve"> $</w:t>
      </w:r>
      <w:r w:rsidR="00942EEC">
        <w:rPr>
          <w:rFonts w:ascii="Arial" w:hAnsi="Arial" w:cs="Arial"/>
        </w:rPr>
        <w:t>6.</w:t>
      </w:r>
      <w:r w:rsidR="00942EEC" w:rsidRPr="00942EEC">
        <w:rPr>
          <w:rFonts w:ascii="Arial" w:hAnsi="Arial" w:cs="Arial"/>
        </w:rPr>
        <w:t>8</w:t>
      </w:r>
      <w:r w:rsidR="00545759" w:rsidRPr="00942EEC">
        <w:rPr>
          <w:rFonts w:ascii="Arial" w:hAnsi="Arial" w:cs="Arial"/>
        </w:rPr>
        <w:t xml:space="preserve"> million ($0.</w:t>
      </w:r>
      <w:r w:rsidR="00942EEC" w:rsidRPr="00942EEC">
        <w:rPr>
          <w:rFonts w:ascii="Arial" w:hAnsi="Arial" w:cs="Arial"/>
        </w:rPr>
        <w:t>32</w:t>
      </w:r>
      <w:r w:rsidR="00545759" w:rsidRPr="00942EEC">
        <w:rPr>
          <w:rFonts w:ascii="Arial" w:hAnsi="Arial" w:cs="Arial"/>
        </w:rPr>
        <w:t xml:space="preserve"> per share) for the</w:t>
      </w:r>
      <w:r w:rsidR="00545759" w:rsidRPr="00B922AD">
        <w:rPr>
          <w:rFonts w:ascii="Arial" w:hAnsi="Arial" w:cs="Arial"/>
        </w:rPr>
        <w:t xml:space="preserve"> </w:t>
      </w:r>
      <w:r w:rsidR="00545759">
        <w:rPr>
          <w:rFonts w:ascii="Arial" w:hAnsi="Arial" w:cs="Arial"/>
        </w:rPr>
        <w:t>first</w:t>
      </w:r>
      <w:r w:rsidR="00545759" w:rsidRPr="00B922AD">
        <w:rPr>
          <w:rFonts w:ascii="Arial" w:hAnsi="Arial" w:cs="Arial"/>
        </w:rPr>
        <w:t xml:space="preserve"> quarter of </w:t>
      </w:r>
      <w:r w:rsidR="00545759">
        <w:rPr>
          <w:rFonts w:ascii="Arial" w:hAnsi="Arial" w:cs="Arial"/>
        </w:rPr>
        <w:t>2017</w:t>
      </w:r>
      <w:r w:rsidR="00545759" w:rsidRPr="00B922AD">
        <w:rPr>
          <w:rFonts w:ascii="Arial" w:hAnsi="Arial" w:cs="Arial"/>
        </w:rPr>
        <w:t>, compared to $</w:t>
      </w:r>
      <w:r w:rsidR="00545759">
        <w:rPr>
          <w:rFonts w:ascii="Arial" w:hAnsi="Arial" w:cs="Arial"/>
        </w:rPr>
        <w:t>14.7</w:t>
      </w:r>
      <w:r w:rsidR="00545759" w:rsidRPr="00B922AD">
        <w:rPr>
          <w:rFonts w:ascii="Arial" w:hAnsi="Arial" w:cs="Arial"/>
        </w:rPr>
        <w:t xml:space="preserve"> million</w:t>
      </w:r>
      <w:r w:rsidR="00545759">
        <w:rPr>
          <w:rFonts w:ascii="Arial" w:hAnsi="Arial" w:cs="Arial"/>
        </w:rPr>
        <w:t xml:space="preserve"> ($0.70</w:t>
      </w:r>
      <w:r w:rsidR="00545759" w:rsidRPr="00B922AD">
        <w:rPr>
          <w:rFonts w:ascii="Arial" w:hAnsi="Arial" w:cs="Arial"/>
        </w:rPr>
        <w:t xml:space="preserve"> per share) for the </w:t>
      </w:r>
      <w:r w:rsidR="00545759">
        <w:rPr>
          <w:rFonts w:ascii="Arial" w:hAnsi="Arial" w:cs="Arial"/>
        </w:rPr>
        <w:t>first</w:t>
      </w:r>
      <w:r w:rsidR="00545759" w:rsidRPr="00B922AD">
        <w:rPr>
          <w:rFonts w:ascii="Arial" w:hAnsi="Arial" w:cs="Arial"/>
        </w:rPr>
        <w:t xml:space="preserve"> quarter of 201</w:t>
      </w:r>
      <w:r w:rsidR="00545759">
        <w:rPr>
          <w:rFonts w:ascii="Arial" w:hAnsi="Arial" w:cs="Arial"/>
        </w:rPr>
        <w:t>6</w:t>
      </w:r>
      <w:r w:rsidR="00545759" w:rsidRPr="00B922AD">
        <w:rPr>
          <w:rFonts w:ascii="Arial" w:hAnsi="Arial" w:cs="Arial"/>
        </w:rPr>
        <w:t>.</w:t>
      </w:r>
      <w:r w:rsidR="00252661">
        <w:rPr>
          <w:rFonts w:ascii="Arial" w:hAnsi="Arial" w:cs="Arial"/>
        </w:rPr>
        <w:t xml:space="preserve"> The majority of this decline is attributed to a </w:t>
      </w:r>
      <w:r w:rsidR="00B66B60">
        <w:rPr>
          <w:rFonts w:ascii="Arial" w:hAnsi="Arial" w:cs="Arial"/>
        </w:rPr>
        <w:t xml:space="preserve">record level of </w:t>
      </w:r>
      <w:r w:rsidR="0094612D">
        <w:rPr>
          <w:rFonts w:ascii="Arial" w:hAnsi="Arial" w:cs="Arial"/>
        </w:rPr>
        <w:t xml:space="preserve">first quarter </w:t>
      </w:r>
      <w:r w:rsidR="00252661">
        <w:rPr>
          <w:rFonts w:ascii="Arial" w:hAnsi="Arial" w:cs="Arial"/>
        </w:rPr>
        <w:t>catastrophe and storm losses</w:t>
      </w:r>
      <w:r w:rsidR="00D14463">
        <w:rPr>
          <w:rFonts w:ascii="Arial" w:hAnsi="Arial" w:cs="Arial"/>
        </w:rPr>
        <w:t xml:space="preserve"> and, to a lesser extent,</w:t>
      </w:r>
      <w:r w:rsidR="00252661">
        <w:rPr>
          <w:rFonts w:ascii="Arial" w:hAnsi="Arial" w:cs="Arial"/>
        </w:rPr>
        <w:t xml:space="preserve"> a decrease in net investment income. </w:t>
      </w:r>
    </w:p>
    <w:p w14:paraId="2E2F6E0F" w14:textId="77777777" w:rsidR="008F60C0" w:rsidRDefault="008F60C0" w:rsidP="008F60C0">
      <w:pPr>
        <w:pStyle w:val="BodyText"/>
        <w:ind w:left="720" w:firstLine="4"/>
        <w:rPr>
          <w:rFonts w:ascii="Arial" w:hAnsi="Arial" w:cs="Arial"/>
        </w:rPr>
      </w:pPr>
    </w:p>
    <w:p w14:paraId="50F04FBA" w14:textId="77777777" w:rsidR="008F60C0" w:rsidRPr="00A04BCC" w:rsidRDefault="008F60C0" w:rsidP="008F60C0">
      <w:pPr>
        <w:pStyle w:val="BodyText"/>
        <w:ind w:left="720" w:firstLine="4"/>
        <w:rPr>
          <w:rFonts w:ascii="Arial" w:hAnsi="Arial" w:cs="Arial"/>
        </w:rPr>
      </w:pPr>
      <w:r w:rsidRPr="00A04BCC">
        <w:rPr>
          <w:rFonts w:ascii="Arial" w:hAnsi="Arial" w:cs="Arial"/>
        </w:rPr>
        <w:t>Non-GAAP operating income, which excludes realized investment gains/losses from net income, totaled $7.2 million ($0.34 per share) for the first quarter of 2017, compared to $15.4 million ($0.74 per share) for the first quarter of 2016.</w:t>
      </w:r>
    </w:p>
    <w:p w14:paraId="236E138A" w14:textId="77777777" w:rsidR="008F60C0" w:rsidRDefault="008F60C0" w:rsidP="005F176E">
      <w:pPr>
        <w:widowControl/>
        <w:autoSpaceDE w:val="0"/>
        <w:autoSpaceDN w:val="0"/>
        <w:adjustRightInd w:val="0"/>
        <w:ind w:left="720" w:firstLine="4"/>
        <w:rPr>
          <w:rFonts w:ascii="Arial" w:hAnsi="Arial" w:cs="Arial"/>
        </w:rPr>
      </w:pPr>
    </w:p>
    <w:p w14:paraId="73FC0BFC" w14:textId="0D9EFC74" w:rsidR="00D14463" w:rsidRPr="00A04BCC" w:rsidRDefault="00D14463" w:rsidP="005F176E">
      <w:pPr>
        <w:widowControl/>
        <w:autoSpaceDE w:val="0"/>
        <w:autoSpaceDN w:val="0"/>
        <w:adjustRightInd w:val="0"/>
        <w:ind w:left="720" w:firstLine="4"/>
        <w:rPr>
          <w:rFonts w:ascii="Arial" w:hAnsi="Arial" w:cs="Arial"/>
        </w:rPr>
      </w:pPr>
      <w:r w:rsidRPr="009E5A8D">
        <w:rPr>
          <w:rFonts w:ascii="Arial" w:hAnsi="Arial" w:cs="Arial"/>
        </w:rPr>
        <w:t xml:space="preserve">Catastrophe and storm </w:t>
      </w:r>
      <w:r w:rsidRPr="001A7F95">
        <w:rPr>
          <w:rFonts w:ascii="Arial" w:hAnsi="Arial" w:cs="Arial"/>
        </w:rPr>
        <w:t xml:space="preserve">losses totaled </w:t>
      </w:r>
      <w:r>
        <w:rPr>
          <w:rFonts w:ascii="Arial" w:hAnsi="Arial" w:cs="Arial"/>
        </w:rPr>
        <w:t xml:space="preserve">a record </w:t>
      </w:r>
      <w:r w:rsidRPr="00CD3DC1">
        <w:rPr>
          <w:rFonts w:ascii="Arial" w:hAnsi="Arial" w:cs="Arial"/>
        </w:rPr>
        <w:t>$13.4 million ($0.41 per share after tax)</w:t>
      </w:r>
      <w:r w:rsidRPr="001A7F95">
        <w:rPr>
          <w:rFonts w:ascii="Arial" w:hAnsi="Arial" w:cs="Arial"/>
        </w:rPr>
        <w:t xml:space="preserve"> in</w:t>
      </w:r>
      <w:r w:rsidRPr="009E5A8D">
        <w:rPr>
          <w:rFonts w:ascii="Arial" w:hAnsi="Arial" w:cs="Arial"/>
        </w:rPr>
        <w:t xml:space="preserve"> the </w:t>
      </w:r>
      <w:r>
        <w:rPr>
          <w:rFonts w:ascii="Arial" w:hAnsi="Arial" w:cs="Arial"/>
        </w:rPr>
        <w:t>first</w:t>
      </w:r>
      <w:r w:rsidRPr="009E5A8D">
        <w:rPr>
          <w:rFonts w:ascii="Arial" w:hAnsi="Arial" w:cs="Arial"/>
        </w:rPr>
        <w:t xml:space="preserve"> quarter of 201</w:t>
      </w:r>
      <w:r>
        <w:rPr>
          <w:rFonts w:ascii="Arial" w:hAnsi="Arial" w:cs="Arial"/>
        </w:rPr>
        <w:t>7</w:t>
      </w:r>
      <w:r w:rsidRPr="009E5A8D">
        <w:rPr>
          <w:rFonts w:ascii="Arial" w:hAnsi="Arial" w:cs="Arial"/>
        </w:rPr>
        <w:t xml:space="preserve">, compared to </w:t>
      </w:r>
      <w:r w:rsidRPr="00A04BCC">
        <w:rPr>
          <w:rFonts w:ascii="Arial" w:hAnsi="Arial" w:cs="Arial"/>
        </w:rPr>
        <w:t xml:space="preserve">$6.2 million ($0.19 per share after tax) in the first quarter of 2016. No recoveries were made under the property and casualty insurance segment’s 2017 January 1 through June 30 excess of loss reinsurance treaty. Approximately $10.2 million of retention remains under this treaty, meaning catastrophe and storm losses will be capped at $10.2 million in the second quarter, unless the $24.0 million limit of protection is exceeded. First quarter catastrophe and storm losses accounted for 9.3 percentage points of the combined ratio, which is </w:t>
      </w:r>
      <w:r w:rsidR="00D34CD5" w:rsidRPr="00A04BCC">
        <w:rPr>
          <w:rFonts w:ascii="Arial" w:hAnsi="Arial" w:cs="Arial"/>
        </w:rPr>
        <w:t xml:space="preserve">well </w:t>
      </w:r>
      <w:r w:rsidRPr="00A04BCC">
        <w:rPr>
          <w:rFonts w:ascii="Arial" w:hAnsi="Arial" w:cs="Arial"/>
        </w:rPr>
        <w:t>above the Company’s most recent 10-year average of 6.1 percentage points for this period, and the 4.3 percentage points experienced in the first quarter of 2016. On a segment basis, catastrophe and storm losses for the first quarter of 2017 amounted to $9.8 million ($0.30 per share after tax) in the property and casualty insurance segment, and $3.6 million ($0.11 per share after tax) in the reinsurance segment.</w:t>
      </w:r>
    </w:p>
    <w:p w14:paraId="5FC6AF1D" w14:textId="77777777" w:rsidR="00D14463" w:rsidRPr="00A04BCC" w:rsidRDefault="00D14463" w:rsidP="005F176E">
      <w:pPr>
        <w:widowControl/>
        <w:autoSpaceDE w:val="0"/>
        <w:autoSpaceDN w:val="0"/>
        <w:adjustRightInd w:val="0"/>
        <w:ind w:left="720" w:firstLine="4"/>
        <w:rPr>
          <w:rFonts w:ascii="Arial" w:hAnsi="Arial" w:cs="Arial"/>
        </w:rPr>
      </w:pPr>
    </w:p>
    <w:p w14:paraId="62CCB4FE" w14:textId="68C0481D" w:rsidR="00D14463" w:rsidRPr="00A04BCC" w:rsidRDefault="00D14463" w:rsidP="00D14463">
      <w:pPr>
        <w:pStyle w:val="BodyText"/>
        <w:ind w:left="720" w:firstLine="4"/>
        <w:rPr>
          <w:rFonts w:ascii="Arial" w:hAnsi="Arial" w:cs="Arial"/>
        </w:rPr>
      </w:pPr>
      <w:r w:rsidRPr="00A04BCC">
        <w:rPr>
          <w:rFonts w:ascii="Arial" w:hAnsi="Arial" w:cs="Arial"/>
        </w:rPr>
        <w:t>“Like many in the industry, first quarter results were significantly impacted by higher than anticipated catastrophe and storm losses,” stated President and Chief Executive Officer Bruce G. Kelley. “While no recoveries have been made under the property and casualty insurance segment’s intercompany reinsurance treaty covering the first half of the year, we are further into the retention amount than anticipated, which means second quarter catastrophe and storm losses will likely be capped at approximately the same level as the</w:t>
      </w:r>
      <w:r w:rsidR="002849D5">
        <w:rPr>
          <w:rFonts w:ascii="Arial" w:hAnsi="Arial" w:cs="Arial"/>
        </w:rPr>
        <w:t xml:space="preserve"> catastrophe and storm losses incurred in the</w:t>
      </w:r>
      <w:r w:rsidRPr="00A04BCC">
        <w:rPr>
          <w:rFonts w:ascii="Arial" w:hAnsi="Arial" w:cs="Arial"/>
        </w:rPr>
        <w:t xml:space="preserve"> first quarter.</w:t>
      </w:r>
      <w:r w:rsidR="007C6A81" w:rsidRPr="00A04BCC">
        <w:rPr>
          <w:rFonts w:ascii="Arial" w:hAnsi="Arial" w:cs="Arial"/>
        </w:rPr>
        <w:t xml:space="preserve"> Based on this expectation, we are reaffirming our earnings guidance for the year.</w:t>
      </w:r>
      <w:r w:rsidRPr="00A04BCC">
        <w:rPr>
          <w:rFonts w:ascii="Arial" w:hAnsi="Arial" w:cs="Arial"/>
        </w:rPr>
        <w:t xml:space="preserve">” </w:t>
      </w:r>
    </w:p>
    <w:p w14:paraId="21F583C4" w14:textId="77777777" w:rsidR="00D14463" w:rsidRPr="00A04BCC" w:rsidRDefault="00D14463" w:rsidP="005F176E">
      <w:pPr>
        <w:widowControl/>
        <w:autoSpaceDE w:val="0"/>
        <w:autoSpaceDN w:val="0"/>
        <w:adjustRightInd w:val="0"/>
        <w:ind w:left="720" w:firstLine="4"/>
        <w:rPr>
          <w:rFonts w:ascii="Arial" w:hAnsi="Arial" w:cs="Arial"/>
        </w:rPr>
      </w:pPr>
    </w:p>
    <w:p w14:paraId="6CAAA4F6" w14:textId="79CA2286" w:rsidR="006F4E7F" w:rsidRPr="00A04BCC" w:rsidRDefault="00D14463" w:rsidP="0094612D">
      <w:pPr>
        <w:widowControl/>
        <w:autoSpaceDE w:val="0"/>
        <w:autoSpaceDN w:val="0"/>
        <w:adjustRightInd w:val="0"/>
        <w:ind w:left="720" w:firstLine="4"/>
        <w:rPr>
          <w:rFonts w:ascii="Arial" w:hAnsi="Arial" w:cs="Arial"/>
        </w:rPr>
      </w:pPr>
      <w:r w:rsidRPr="00A04BCC">
        <w:rPr>
          <w:rFonts w:ascii="Arial" w:hAnsi="Arial" w:cs="Arial"/>
        </w:rPr>
        <w:t>In t</w:t>
      </w:r>
      <w:r w:rsidR="00252661" w:rsidRPr="00A04BCC">
        <w:rPr>
          <w:rFonts w:ascii="Arial" w:hAnsi="Arial" w:cs="Arial"/>
        </w:rPr>
        <w:t xml:space="preserve">he property and casualty insurance segment, the </w:t>
      </w:r>
      <w:r w:rsidR="00280068">
        <w:rPr>
          <w:rFonts w:ascii="Arial" w:hAnsi="Arial" w:cs="Arial"/>
        </w:rPr>
        <w:t>underlying</w:t>
      </w:r>
      <w:r w:rsidR="00252661" w:rsidRPr="00A04BCC">
        <w:rPr>
          <w:rFonts w:ascii="Arial" w:hAnsi="Arial" w:cs="Arial"/>
        </w:rPr>
        <w:t xml:space="preserve"> loss and settlement expense ratio, which excludes the impact of catastrophe and storm losses and development on prior years' reserves, increased 8.</w:t>
      </w:r>
      <w:r w:rsidR="008A3949" w:rsidRPr="00A04BCC">
        <w:rPr>
          <w:rFonts w:ascii="Arial" w:hAnsi="Arial" w:cs="Arial"/>
        </w:rPr>
        <w:t>8</w:t>
      </w:r>
      <w:r w:rsidR="00252661" w:rsidRPr="00A04BCC">
        <w:rPr>
          <w:rFonts w:ascii="Arial" w:hAnsi="Arial" w:cs="Arial"/>
        </w:rPr>
        <w:t xml:space="preserve"> percentage points</w:t>
      </w:r>
      <w:r w:rsidR="00251F14" w:rsidRPr="00A04BCC">
        <w:rPr>
          <w:rFonts w:ascii="Arial" w:hAnsi="Arial" w:cs="Arial"/>
        </w:rPr>
        <w:t xml:space="preserve"> </w:t>
      </w:r>
      <w:r w:rsidR="00A662BD" w:rsidRPr="00A04BCC">
        <w:rPr>
          <w:rFonts w:ascii="Arial" w:hAnsi="Arial" w:cs="Arial"/>
        </w:rPr>
        <w:t>to 65.3 percent f</w:t>
      </w:r>
      <w:r w:rsidR="00FA71ED" w:rsidRPr="00A04BCC">
        <w:rPr>
          <w:rFonts w:ascii="Arial" w:hAnsi="Arial" w:cs="Arial"/>
        </w:rPr>
        <w:t>rom 56.5 percent in</w:t>
      </w:r>
      <w:r w:rsidR="00251F14" w:rsidRPr="00A04BCC">
        <w:rPr>
          <w:rFonts w:ascii="Arial" w:hAnsi="Arial" w:cs="Arial"/>
        </w:rPr>
        <w:t xml:space="preserve"> the first quarter of 2016</w:t>
      </w:r>
      <w:r w:rsidR="00252661" w:rsidRPr="00A04BCC">
        <w:rPr>
          <w:rFonts w:ascii="Arial" w:hAnsi="Arial" w:cs="Arial"/>
        </w:rPr>
        <w:t>. This increase does not reflect a decline in the performance of the underlying book of business</w:t>
      </w:r>
      <w:r w:rsidR="006F4E7F" w:rsidRPr="00A04BCC">
        <w:rPr>
          <w:rFonts w:ascii="Arial" w:hAnsi="Arial" w:cs="Arial"/>
        </w:rPr>
        <w:t xml:space="preserve">, as the </w:t>
      </w:r>
      <w:r w:rsidR="00280068">
        <w:rPr>
          <w:rFonts w:ascii="Arial" w:hAnsi="Arial" w:cs="Arial"/>
        </w:rPr>
        <w:t>underlying</w:t>
      </w:r>
      <w:r w:rsidR="006F4E7F" w:rsidRPr="00A04BCC">
        <w:rPr>
          <w:rFonts w:ascii="Arial" w:hAnsi="Arial" w:cs="Arial"/>
        </w:rPr>
        <w:t xml:space="preserve"> loss and settlement expense ratio has been relatively consistent since the implementation of the new bulk reserving methodology in the third quarter of 2016. Rather, the increase is attributed to a change in how bulk reserves are allocated to the various accident years under the </w:t>
      </w:r>
      <w:r w:rsidR="00D93F23" w:rsidRPr="00A04BCC">
        <w:rPr>
          <w:rFonts w:ascii="Arial" w:hAnsi="Arial" w:cs="Arial"/>
        </w:rPr>
        <w:t>new</w:t>
      </w:r>
      <w:r w:rsidR="006F4E7F" w:rsidRPr="00A04BCC">
        <w:rPr>
          <w:rFonts w:ascii="Arial" w:hAnsi="Arial" w:cs="Arial"/>
        </w:rPr>
        <w:t xml:space="preserve"> bulk reserving </w:t>
      </w:r>
      <w:r w:rsidR="006F4E7F" w:rsidRPr="00A04BCC">
        <w:rPr>
          <w:rFonts w:ascii="Arial" w:hAnsi="Arial" w:cs="Arial"/>
        </w:rPr>
        <w:lastRenderedPageBreak/>
        <w:t>methodology</w:t>
      </w:r>
      <w:r w:rsidR="007C6A81" w:rsidRPr="00A04BCC">
        <w:rPr>
          <w:rFonts w:ascii="Arial" w:hAnsi="Arial" w:cs="Arial"/>
        </w:rPr>
        <w:t xml:space="preserve">, </w:t>
      </w:r>
      <w:r w:rsidR="00D34CD5" w:rsidRPr="00A04BCC">
        <w:rPr>
          <w:rFonts w:ascii="Arial" w:hAnsi="Arial" w:cs="Arial"/>
        </w:rPr>
        <w:t xml:space="preserve">which makes </w:t>
      </w:r>
      <w:r w:rsidR="007C6A81" w:rsidRPr="00A04BCC">
        <w:rPr>
          <w:rFonts w:ascii="Arial" w:hAnsi="Arial" w:cs="Arial"/>
        </w:rPr>
        <w:t xml:space="preserve">it difficult to compare the first quarter </w:t>
      </w:r>
      <w:r w:rsidR="00280068">
        <w:rPr>
          <w:rFonts w:ascii="Arial" w:hAnsi="Arial" w:cs="Arial"/>
        </w:rPr>
        <w:t>underlying</w:t>
      </w:r>
      <w:r w:rsidR="007C6A81" w:rsidRPr="00A04BCC">
        <w:rPr>
          <w:rFonts w:ascii="Arial" w:hAnsi="Arial" w:cs="Arial"/>
        </w:rPr>
        <w:t xml:space="preserve"> loss and settlement expense ratios in 2017 and 2016</w:t>
      </w:r>
      <w:r w:rsidR="006F4E7F" w:rsidRPr="00A04BCC">
        <w:rPr>
          <w:rFonts w:ascii="Arial" w:hAnsi="Arial" w:cs="Arial"/>
        </w:rPr>
        <w:t>.</w:t>
      </w:r>
      <w:r w:rsidR="00251F14" w:rsidRPr="00A04BCC">
        <w:rPr>
          <w:rFonts w:ascii="Arial" w:hAnsi="Arial" w:cs="Arial"/>
        </w:rPr>
        <w:t xml:space="preserve"> </w:t>
      </w:r>
    </w:p>
    <w:p w14:paraId="0C1CBFCA" w14:textId="77777777" w:rsidR="006F4E7F" w:rsidRPr="00A04BCC" w:rsidRDefault="006F4E7F" w:rsidP="0094612D">
      <w:pPr>
        <w:widowControl/>
        <w:autoSpaceDE w:val="0"/>
        <w:autoSpaceDN w:val="0"/>
        <w:adjustRightInd w:val="0"/>
        <w:ind w:left="720" w:firstLine="4"/>
        <w:rPr>
          <w:rFonts w:ascii="Arial" w:hAnsi="Arial" w:cs="Arial"/>
        </w:rPr>
      </w:pPr>
    </w:p>
    <w:p w14:paraId="17BB2BAB" w14:textId="5A9B6BE2" w:rsidR="0094612D" w:rsidRPr="00A04BCC" w:rsidRDefault="0094612D" w:rsidP="0094612D">
      <w:pPr>
        <w:widowControl/>
        <w:autoSpaceDE w:val="0"/>
        <w:autoSpaceDN w:val="0"/>
        <w:adjustRightInd w:val="0"/>
        <w:ind w:left="720" w:firstLine="4"/>
        <w:rPr>
          <w:rFonts w:ascii="Arial" w:hAnsi="Arial" w:cs="Arial"/>
        </w:rPr>
      </w:pPr>
      <w:r w:rsidRPr="00A04BCC">
        <w:rPr>
          <w:rFonts w:ascii="Arial" w:hAnsi="Arial" w:cs="Arial"/>
        </w:rPr>
        <w:t>The prior bulk reserving methodology was focused on maintaining a consistent level of overall reserve adequacy. Bulk reserves were determined in total, and a separate process was used to allocate the bulk reserves to the various accident years. The implied ultimate accident year loss ratios produced by this allocation process were not explicitly determined</w:t>
      </w:r>
      <w:r w:rsidR="006F4E7F" w:rsidRPr="00A04BCC">
        <w:rPr>
          <w:rFonts w:ascii="Arial" w:hAnsi="Arial" w:cs="Arial"/>
        </w:rPr>
        <w:t xml:space="preserve">, which, based upon a recently completed analysis of first quarter results, allowed seasonal or other fluctuations in the underlying case loss reserves to impact </w:t>
      </w:r>
      <w:r w:rsidR="00280068">
        <w:rPr>
          <w:rFonts w:ascii="Arial" w:hAnsi="Arial" w:cs="Arial"/>
        </w:rPr>
        <w:t>the underlying</w:t>
      </w:r>
      <w:r w:rsidR="00BD5FFE" w:rsidRPr="00A04BCC">
        <w:rPr>
          <w:rFonts w:ascii="Arial" w:hAnsi="Arial" w:cs="Arial"/>
        </w:rPr>
        <w:t xml:space="preserve"> loss and settlement expense ratio</w:t>
      </w:r>
      <w:r w:rsidRPr="00A04BCC">
        <w:rPr>
          <w:rFonts w:ascii="Arial" w:hAnsi="Arial" w:cs="Arial"/>
        </w:rPr>
        <w:t xml:space="preserve">. </w:t>
      </w:r>
    </w:p>
    <w:p w14:paraId="02870003" w14:textId="77777777" w:rsidR="0094612D" w:rsidRPr="00A04BCC" w:rsidRDefault="0094612D" w:rsidP="0094612D">
      <w:pPr>
        <w:widowControl/>
        <w:autoSpaceDE w:val="0"/>
        <w:autoSpaceDN w:val="0"/>
        <w:adjustRightInd w:val="0"/>
        <w:ind w:left="720" w:firstLine="4"/>
        <w:rPr>
          <w:rFonts w:ascii="Arial" w:hAnsi="Arial" w:cs="Arial"/>
          <w:sz w:val="20"/>
          <w:szCs w:val="20"/>
        </w:rPr>
      </w:pPr>
    </w:p>
    <w:p w14:paraId="46FD2ECA" w14:textId="1A416CA7" w:rsidR="00FB358D" w:rsidRPr="00A04BCC" w:rsidRDefault="0094612D" w:rsidP="00FB358D">
      <w:pPr>
        <w:pStyle w:val="BodyText"/>
        <w:ind w:left="720" w:firstLine="4"/>
        <w:rPr>
          <w:rFonts w:ascii="Arial" w:hAnsi="Arial" w:cs="Arial"/>
        </w:rPr>
      </w:pPr>
      <w:r w:rsidRPr="00A04BCC">
        <w:rPr>
          <w:rFonts w:ascii="Arial" w:hAnsi="Arial" w:cs="Arial"/>
        </w:rPr>
        <w:t xml:space="preserve">Under the new bulk reserving methodology, </w:t>
      </w:r>
      <w:r w:rsidR="00BD5FFE" w:rsidRPr="00A04BCC">
        <w:rPr>
          <w:rFonts w:ascii="Arial" w:hAnsi="Arial" w:cs="Arial"/>
        </w:rPr>
        <w:t xml:space="preserve">the </w:t>
      </w:r>
      <w:r w:rsidR="00280068">
        <w:rPr>
          <w:rFonts w:ascii="Arial" w:hAnsi="Arial" w:cs="Arial"/>
        </w:rPr>
        <w:t>underlying</w:t>
      </w:r>
      <w:r w:rsidR="00BD5FFE" w:rsidRPr="00A04BCC">
        <w:rPr>
          <w:rFonts w:ascii="Arial" w:hAnsi="Arial" w:cs="Arial"/>
        </w:rPr>
        <w:t xml:space="preserve"> loss and settlement expense ratio is</w:t>
      </w:r>
      <w:r w:rsidRPr="00A04BCC">
        <w:rPr>
          <w:rFonts w:ascii="Arial" w:hAnsi="Arial" w:cs="Arial"/>
        </w:rPr>
        <w:t xml:space="preserve"> determined by the explicit accident year ultimate loss ratios established by management. Because of this change in </w:t>
      </w:r>
      <w:r w:rsidR="00332090">
        <w:rPr>
          <w:rFonts w:ascii="Arial" w:hAnsi="Arial" w:cs="Arial"/>
        </w:rPr>
        <w:t>methodology</w:t>
      </w:r>
      <w:r w:rsidRPr="00A04BCC">
        <w:rPr>
          <w:rFonts w:ascii="Arial" w:hAnsi="Arial" w:cs="Arial"/>
        </w:rPr>
        <w:t xml:space="preserve">, quarterly </w:t>
      </w:r>
      <w:r w:rsidR="00280068">
        <w:rPr>
          <w:rFonts w:ascii="Arial" w:hAnsi="Arial" w:cs="Arial"/>
        </w:rPr>
        <w:t>underlying</w:t>
      </w:r>
      <w:r w:rsidRPr="00A04BCC">
        <w:rPr>
          <w:rFonts w:ascii="Arial" w:hAnsi="Arial" w:cs="Arial"/>
        </w:rPr>
        <w:t xml:space="preserve"> loss and settlement expense ratios are expected to be more consistent throughout the year th</w:t>
      </w:r>
      <w:r w:rsidR="009F70EF" w:rsidRPr="00A04BCC">
        <w:rPr>
          <w:rFonts w:ascii="Arial" w:hAnsi="Arial" w:cs="Arial"/>
        </w:rPr>
        <w:t>a</w:t>
      </w:r>
      <w:r w:rsidRPr="00A04BCC">
        <w:rPr>
          <w:rFonts w:ascii="Arial" w:hAnsi="Arial" w:cs="Arial"/>
        </w:rPr>
        <w:t>n they were under the prior methodology</w:t>
      </w:r>
      <w:r w:rsidR="007C6A81" w:rsidRPr="00A04BCC">
        <w:rPr>
          <w:rFonts w:ascii="Arial" w:hAnsi="Arial" w:cs="Arial"/>
        </w:rPr>
        <w:t>.</w:t>
      </w:r>
    </w:p>
    <w:p w14:paraId="78EA46DC" w14:textId="77777777" w:rsidR="00FB358D" w:rsidRPr="00A04BCC" w:rsidRDefault="00FB358D" w:rsidP="00FB358D">
      <w:pPr>
        <w:pStyle w:val="BodyText"/>
        <w:ind w:left="720" w:firstLine="4"/>
        <w:rPr>
          <w:rFonts w:ascii="Arial" w:hAnsi="Arial" w:cs="Arial"/>
          <w:sz w:val="20"/>
          <w:szCs w:val="20"/>
        </w:rPr>
      </w:pPr>
    </w:p>
    <w:p w14:paraId="6BA9DD29" w14:textId="6BD92925" w:rsidR="00FB358D" w:rsidRPr="00A04BCC" w:rsidRDefault="00FB358D" w:rsidP="00FB358D">
      <w:pPr>
        <w:pStyle w:val="BodyText"/>
        <w:ind w:left="720" w:firstLine="4"/>
        <w:rPr>
          <w:rFonts w:ascii="Arial" w:hAnsi="Arial" w:cs="Arial"/>
        </w:rPr>
      </w:pPr>
      <w:r w:rsidRPr="00A04BCC">
        <w:rPr>
          <w:rFonts w:ascii="Arial" w:hAnsi="Arial" w:cs="Arial"/>
        </w:rPr>
        <w:t xml:space="preserve">The Company </w:t>
      </w:r>
      <w:r w:rsidR="008A3949" w:rsidRPr="00A04BCC">
        <w:rPr>
          <w:rFonts w:ascii="Arial" w:hAnsi="Arial" w:cs="Arial"/>
        </w:rPr>
        <w:t xml:space="preserve">experienced </w:t>
      </w:r>
      <w:r w:rsidRPr="00A04BCC">
        <w:rPr>
          <w:rFonts w:ascii="Arial" w:hAnsi="Arial" w:cs="Arial"/>
        </w:rPr>
        <w:t xml:space="preserve">a </w:t>
      </w:r>
      <w:r w:rsidR="008A3949" w:rsidRPr="00A04BCC">
        <w:rPr>
          <w:rFonts w:ascii="Arial" w:hAnsi="Arial" w:cs="Arial"/>
        </w:rPr>
        <w:t>large</w:t>
      </w:r>
      <w:r w:rsidRPr="00A04BCC">
        <w:rPr>
          <w:rFonts w:ascii="Arial" w:hAnsi="Arial" w:cs="Arial"/>
        </w:rPr>
        <w:t xml:space="preserve"> increase </w:t>
      </w:r>
      <w:r w:rsidR="008A3949" w:rsidRPr="00A04BCC">
        <w:rPr>
          <w:rFonts w:ascii="Arial" w:hAnsi="Arial" w:cs="Arial"/>
        </w:rPr>
        <w:t>in</w:t>
      </w:r>
      <w:r w:rsidRPr="00A04BCC">
        <w:rPr>
          <w:rFonts w:ascii="Arial" w:hAnsi="Arial" w:cs="Arial"/>
        </w:rPr>
        <w:t xml:space="preserve"> favorable development on prior years’ reserves during the first quarter of 2017, total</w:t>
      </w:r>
      <w:r w:rsidR="008A3949" w:rsidRPr="00A04BCC">
        <w:rPr>
          <w:rFonts w:ascii="Arial" w:hAnsi="Arial" w:cs="Arial"/>
        </w:rPr>
        <w:t>ing</w:t>
      </w:r>
      <w:r w:rsidRPr="00A04BCC">
        <w:rPr>
          <w:rFonts w:ascii="Arial" w:hAnsi="Arial" w:cs="Arial"/>
        </w:rPr>
        <w:t xml:space="preserve"> $14.9 million ($0.46 per share after tax) compared to $7.8 million ($0.24 per share after tax) in the first quarter of 2016</w:t>
      </w:r>
      <w:r w:rsidR="008A3949" w:rsidRPr="00A04BCC">
        <w:rPr>
          <w:rFonts w:ascii="Arial" w:hAnsi="Arial" w:cs="Arial"/>
        </w:rPr>
        <w:t xml:space="preserve">, which </w:t>
      </w:r>
      <w:r w:rsidRPr="00A04BCC">
        <w:rPr>
          <w:rFonts w:ascii="Arial" w:hAnsi="Arial" w:cs="Arial"/>
        </w:rPr>
        <w:t xml:space="preserve">helped limit the increase in the loss and settlement expense ratio. </w:t>
      </w:r>
    </w:p>
    <w:p w14:paraId="26F309FA" w14:textId="77777777" w:rsidR="0094612D" w:rsidRPr="00A04BCC" w:rsidRDefault="0094612D" w:rsidP="0094612D">
      <w:pPr>
        <w:pStyle w:val="BodyText"/>
        <w:ind w:left="720" w:firstLine="4"/>
        <w:rPr>
          <w:rFonts w:ascii="Arial" w:hAnsi="Arial" w:cs="Arial"/>
        </w:rPr>
      </w:pPr>
    </w:p>
    <w:p w14:paraId="54D281F4" w14:textId="77777777" w:rsidR="0094612D" w:rsidRPr="00A04BCC" w:rsidRDefault="0094612D" w:rsidP="0094612D">
      <w:pPr>
        <w:pStyle w:val="BodyText"/>
        <w:ind w:left="720" w:firstLine="4"/>
        <w:rPr>
          <w:rFonts w:ascii="Arial" w:hAnsi="Arial" w:cs="Arial"/>
        </w:rPr>
      </w:pPr>
      <w:r w:rsidRPr="00A04BCC">
        <w:rPr>
          <w:rFonts w:ascii="Arial" w:hAnsi="Arial" w:cs="Arial"/>
        </w:rPr>
        <w:t>The Company’s GAAP combined ratio was 100.5 percent in the first quarter of 2017, compared to 92.7 percent in the first quarter of 2016.</w:t>
      </w:r>
    </w:p>
    <w:p w14:paraId="70377A79" w14:textId="77777777" w:rsidR="0094612D" w:rsidRPr="00A04BCC" w:rsidRDefault="0094612D" w:rsidP="005F176E">
      <w:pPr>
        <w:pStyle w:val="BodyText"/>
        <w:ind w:left="720" w:firstLine="4"/>
        <w:rPr>
          <w:rFonts w:ascii="Arial" w:hAnsi="Arial" w:cs="Arial"/>
        </w:rPr>
      </w:pPr>
    </w:p>
    <w:p w14:paraId="4A9B9568" w14:textId="73149BCE" w:rsidR="00F57F30" w:rsidRPr="00A04BCC" w:rsidRDefault="00A12CB7" w:rsidP="005F176E">
      <w:pPr>
        <w:widowControl/>
        <w:autoSpaceDE w:val="0"/>
        <w:autoSpaceDN w:val="0"/>
        <w:adjustRightInd w:val="0"/>
        <w:ind w:left="720"/>
        <w:rPr>
          <w:rFonts w:ascii="Arial" w:hAnsi="Arial" w:cs="Arial"/>
        </w:rPr>
      </w:pPr>
      <w:r w:rsidRPr="00A04BCC">
        <w:rPr>
          <w:rFonts w:ascii="Arial" w:hAnsi="Arial" w:cs="Arial"/>
        </w:rPr>
        <w:t>P</w:t>
      </w:r>
      <w:r w:rsidR="00F57F30" w:rsidRPr="00A04BCC">
        <w:rPr>
          <w:rFonts w:ascii="Arial" w:hAnsi="Arial" w:cs="Arial"/>
        </w:rPr>
        <w:t>remiums earned increased</w:t>
      </w:r>
      <w:r w:rsidR="00C03C07" w:rsidRPr="00A04BCC">
        <w:rPr>
          <w:rFonts w:ascii="Arial" w:hAnsi="Arial" w:cs="Arial"/>
        </w:rPr>
        <w:t xml:space="preserve"> </w:t>
      </w:r>
      <w:r w:rsidR="00942EEC" w:rsidRPr="00A04BCC">
        <w:rPr>
          <w:rFonts w:ascii="Arial" w:hAnsi="Arial" w:cs="Arial"/>
        </w:rPr>
        <w:t>1.2</w:t>
      </w:r>
      <w:r w:rsidR="00F57F30" w:rsidRPr="00A04BCC">
        <w:rPr>
          <w:rFonts w:ascii="Arial" w:hAnsi="Arial" w:cs="Arial"/>
        </w:rPr>
        <w:t xml:space="preserve"> percent to $</w:t>
      </w:r>
      <w:r w:rsidR="00F72FB0" w:rsidRPr="00A04BCC">
        <w:rPr>
          <w:rFonts w:ascii="Arial" w:hAnsi="Arial" w:cs="Arial"/>
        </w:rPr>
        <w:t>14</w:t>
      </w:r>
      <w:r w:rsidR="00942EEC" w:rsidRPr="00A04BCC">
        <w:rPr>
          <w:rFonts w:ascii="Arial" w:hAnsi="Arial" w:cs="Arial"/>
        </w:rPr>
        <w:t>4.5</w:t>
      </w:r>
      <w:r w:rsidR="00BD239E" w:rsidRPr="00A04BCC">
        <w:rPr>
          <w:rFonts w:ascii="Arial" w:hAnsi="Arial" w:cs="Arial"/>
        </w:rPr>
        <w:t xml:space="preserve"> million</w:t>
      </w:r>
      <w:r w:rsidRPr="00A04BCC">
        <w:rPr>
          <w:rFonts w:ascii="Arial" w:hAnsi="Arial" w:cs="Arial"/>
        </w:rPr>
        <w:t xml:space="preserve"> for the </w:t>
      </w:r>
      <w:r w:rsidR="00152977" w:rsidRPr="00A04BCC">
        <w:rPr>
          <w:rFonts w:ascii="Arial" w:hAnsi="Arial" w:cs="Arial"/>
        </w:rPr>
        <w:t>first quarter of 201</w:t>
      </w:r>
      <w:r w:rsidR="0096106E" w:rsidRPr="00A04BCC">
        <w:rPr>
          <w:rFonts w:ascii="Arial" w:hAnsi="Arial" w:cs="Arial"/>
        </w:rPr>
        <w:t>7</w:t>
      </w:r>
      <w:r w:rsidR="006A7EF5" w:rsidRPr="00A04BCC">
        <w:rPr>
          <w:rFonts w:ascii="Arial" w:hAnsi="Arial" w:cs="Arial"/>
        </w:rPr>
        <w:t>, from $</w:t>
      </w:r>
      <w:r w:rsidR="00152977" w:rsidRPr="00A04BCC">
        <w:rPr>
          <w:rFonts w:ascii="Arial" w:hAnsi="Arial" w:cs="Arial"/>
        </w:rPr>
        <w:t>1</w:t>
      </w:r>
      <w:r w:rsidR="0096106E" w:rsidRPr="00A04BCC">
        <w:rPr>
          <w:rFonts w:ascii="Arial" w:hAnsi="Arial" w:cs="Arial"/>
        </w:rPr>
        <w:t>42.7</w:t>
      </w:r>
      <w:r w:rsidR="00BD239E" w:rsidRPr="00A04BCC">
        <w:rPr>
          <w:rFonts w:ascii="Arial" w:hAnsi="Arial" w:cs="Arial"/>
        </w:rPr>
        <w:t xml:space="preserve"> million</w:t>
      </w:r>
      <w:r w:rsidR="00B506B4" w:rsidRPr="00A04BCC">
        <w:rPr>
          <w:rFonts w:ascii="Arial" w:hAnsi="Arial" w:cs="Arial"/>
        </w:rPr>
        <w:t xml:space="preserve"> </w:t>
      </w:r>
      <w:r w:rsidR="004212D9" w:rsidRPr="00A04BCC">
        <w:rPr>
          <w:rFonts w:ascii="Arial" w:hAnsi="Arial" w:cs="Arial"/>
        </w:rPr>
        <w:t>in</w:t>
      </w:r>
      <w:r w:rsidR="00F57F30" w:rsidRPr="00A04BCC">
        <w:rPr>
          <w:rFonts w:ascii="Arial" w:hAnsi="Arial" w:cs="Arial"/>
        </w:rPr>
        <w:t xml:space="preserve"> </w:t>
      </w:r>
      <w:r w:rsidR="00D82891" w:rsidRPr="00A04BCC">
        <w:rPr>
          <w:rFonts w:ascii="Arial" w:hAnsi="Arial" w:cs="Arial"/>
        </w:rPr>
        <w:t xml:space="preserve">the first quarter of </w:t>
      </w:r>
      <w:r w:rsidR="00F57F30" w:rsidRPr="00A04BCC">
        <w:rPr>
          <w:rFonts w:ascii="Arial" w:hAnsi="Arial" w:cs="Arial"/>
        </w:rPr>
        <w:t>201</w:t>
      </w:r>
      <w:r w:rsidR="0096106E" w:rsidRPr="00A04BCC">
        <w:rPr>
          <w:rFonts w:ascii="Arial" w:hAnsi="Arial" w:cs="Arial"/>
        </w:rPr>
        <w:t>6</w:t>
      </w:r>
      <w:r w:rsidR="009E17B0" w:rsidRPr="00A04BCC">
        <w:rPr>
          <w:rFonts w:ascii="Arial" w:hAnsi="Arial" w:cs="Arial"/>
        </w:rPr>
        <w:t>.</w:t>
      </w:r>
      <w:r w:rsidR="002660E8" w:rsidRPr="00A04BCC">
        <w:rPr>
          <w:rFonts w:ascii="Arial" w:hAnsi="Arial" w:cs="Arial"/>
        </w:rPr>
        <w:t xml:space="preserve"> </w:t>
      </w:r>
      <w:r w:rsidR="00F57F30" w:rsidRPr="00A04BCC">
        <w:rPr>
          <w:rFonts w:ascii="Arial" w:hAnsi="Arial" w:cs="Arial"/>
        </w:rPr>
        <w:t>In the property and casualty insurance segment, premium</w:t>
      </w:r>
      <w:r w:rsidR="00DA6F6A" w:rsidRPr="00A04BCC">
        <w:rPr>
          <w:rFonts w:ascii="Arial" w:hAnsi="Arial" w:cs="Arial"/>
        </w:rPr>
        <w:t>s earned</w:t>
      </w:r>
      <w:r w:rsidR="00F57F30" w:rsidRPr="00A04BCC">
        <w:rPr>
          <w:rFonts w:ascii="Arial" w:hAnsi="Arial" w:cs="Arial"/>
        </w:rPr>
        <w:t xml:space="preserve"> increased</w:t>
      </w:r>
      <w:r w:rsidR="005D276F" w:rsidRPr="00A04BCC">
        <w:rPr>
          <w:rFonts w:ascii="Arial" w:hAnsi="Arial" w:cs="Arial"/>
        </w:rPr>
        <w:t xml:space="preserve"> </w:t>
      </w:r>
      <w:r w:rsidR="00942EEC" w:rsidRPr="00A04BCC">
        <w:rPr>
          <w:rFonts w:ascii="Arial" w:hAnsi="Arial" w:cs="Arial"/>
        </w:rPr>
        <w:t>2.9</w:t>
      </w:r>
      <w:r w:rsidR="00F57F30" w:rsidRPr="00A04BCC">
        <w:rPr>
          <w:rFonts w:ascii="Arial" w:hAnsi="Arial" w:cs="Arial"/>
        </w:rPr>
        <w:t xml:space="preserve"> percent</w:t>
      </w:r>
      <w:r w:rsidR="00F65DD7" w:rsidRPr="00A04BCC">
        <w:rPr>
          <w:rFonts w:ascii="Arial" w:hAnsi="Arial" w:cs="Arial"/>
        </w:rPr>
        <w:t>. T</w:t>
      </w:r>
      <w:r w:rsidR="00F57F30" w:rsidRPr="00A04BCC">
        <w:rPr>
          <w:rFonts w:ascii="Arial" w:hAnsi="Arial" w:cs="Arial"/>
        </w:rPr>
        <w:t xml:space="preserve">he majority of the </w:t>
      </w:r>
      <w:r w:rsidR="00051B70" w:rsidRPr="00A04BCC">
        <w:rPr>
          <w:rFonts w:ascii="Arial" w:hAnsi="Arial" w:cs="Arial"/>
        </w:rPr>
        <w:t>i</w:t>
      </w:r>
      <w:r w:rsidR="00F57F30" w:rsidRPr="00A04BCC">
        <w:rPr>
          <w:rFonts w:ascii="Arial" w:hAnsi="Arial" w:cs="Arial"/>
        </w:rPr>
        <w:t>ncrease</w:t>
      </w:r>
      <w:r w:rsidR="00F65DD7" w:rsidRPr="00A04BCC">
        <w:rPr>
          <w:rFonts w:ascii="Arial" w:hAnsi="Arial" w:cs="Arial"/>
        </w:rPr>
        <w:t xml:space="preserve"> is</w:t>
      </w:r>
      <w:r w:rsidR="006A635E" w:rsidRPr="00A04BCC">
        <w:rPr>
          <w:rFonts w:ascii="Arial" w:hAnsi="Arial" w:cs="Arial"/>
        </w:rPr>
        <w:t xml:space="preserve"> </w:t>
      </w:r>
      <w:r w:rsidR="00F57F30" w:rsidRPr="00A04BCC">
        <w:rPr>
          <w:rFonts w:ascii="Arial" w:hAnsi="Arial" w:cs="Arial"/>
        </w:rPr>
        <w:t>attri</w:t>
      </w:r>
      <w:r w:rsidR="006A7EF5" w:rsidRPr="00A04BCC">
        <w:rPr>
          <w:rFonts w:ascii="Arial" w:hAnsi="Arial" w:cs="Arial"/>
        </w:rPr>
        <w:t>but</w:t>
      </w:r>
      <w:r w:rsidR="0096355C" w:rsidRPr="00A04BCC">
        <w:rPr>
          <w:rFonts w:ascii="Arial" w:hAnsi="Arial" w:cs="Arial"/>
        </w:rPr>
        <w:t>e</w:t>
      </w:r>
      <w:r w:rsidR="00DA67A1" w:rsidRPr="00A04BCC">
        <w:rPr>
          <w:rFonts w:ascii="Arial" w:hAnsi="Arial" w:cs="Arial"/>
        </w:rPr>
        <w:t>d</w:t>
      </w:r>
      <w:r w:rsidR="0096355C" w:rsidRPr="00A04BCC">
        <w:rPr>
          <w:rFonts w:ascii="Arial" w:hAnsi="Arial" w:cs="Arial"/>
        </w:rPr>
        <w:t xml:space="preserve"> to</w:t>
      </w:r>
      <w:r w:rsidR="00DA67A1" w:rsidRPr="00A04BCC">
        <w:rPr>
          <w:rFonts w:ascii="Arial" w:hAnsi="Arial" w:cs="Arial"/>
        </w:rPr>
        <w:t xml:space="preserve"> an increase </w:t>
      </w:r>
      <w:r w:rsidR="00F65DD7" w:rsidRPr="00A04BCC">
        <w:rPr>
          <w:rFonts w:ascii="Arial" w:hAnsi="Arial" w:cs="Arial"/>
        </w:rPr>
        <w:t xml:space="preserve">in </w:t>
      </w:r>
      <w:r w:rsidR="00C56B08" w:rsidRPr="00A04BCC">
        <w:rPr>
          <w:rFonts w:ascii="Arial" w:hAnsi="Arial" w:cs="Arial"/>
        </w:rPr>
        <w:t>retained policies in the commercial lines of business</w:t>
      </w:r>
      <w:r w:rsidR="00DA67A1" w:rsidRPr="00A04BCC">
        <w:rPr>
          <w:rFonts w:ascii="Arial" w:hAnsi="Arial" w:cs="Arial"/>
        </w:rPr>
        <w:t>, small ra</w:t>
      </w:r>
      <w:r w:rsidR="00F65DD7" w:rsidRPr="00A04BCC">
        <w:rPr>
          <w:rFonts w:ascii="Arial" w:hAnsi="Arial" w:cs="Arial"/>
        </w:rPr>
        <w:t>te level increases on</w:t>
      </w:r>
      <w:r w:rsidR="00590C13" w:rsidRPr="00A04BCC">
        <w:rPr>
          <w:rFonts w:ascii="Arial" w:hAnsi="Arial" w:cs="Arial"/>
        </w:rPr>
        <w:t xml:space="preserve"> commercial lines</w:t>
      </w:r>
      <w:r w:rsidR="00F65DD7" w:rsidRPr="00A04BCC">
        <w:rPr>
          <w:rFonts w:ascii="Arial" w:hAnsi="Arial" w:cs="Arial"/>
        </w:rPr>
        <w:t xml:space="preserve"> renewal business</w:t>
      </w:r>
      <w:r w:rsidR="00DA67A1" w:rsidRPr="00A04BCC">
        <w:rPr>
          <w:rFonts w:ascii="Arial" w:hAnsi="Arial" w:cs="Arial"/>
        </w:rPr>
        <w:t xml:space="preserve"> and growth in insured exposures</w:t>
      </w:r>
      <w:r w:rsidR="00F57F30" w:rsidRPr="00A04BCC">
        <w:rPr>
          <w:rFonts w:ascii="Arial" w:hAnsi="Arial" w:cs="Arial"/>
        </w:rPr>
        <w:t>.</w:t>
      </w:r>
      <w:r w:rsidR="006A7EF5" w:rsidRPr="00A04BCC">
        <w:rPr>
          <w:rFonts w:ascii="Arial" w:hAnsi="Arial" w:cs="Arial"/>
        </w:rPr>
        <w:t xml:space="preserve"> </w:t>
      </w:r>
      <w:r w:rsidR="00F57F30" w:rsidRPr="00A04BCC">
        <w:rPr>
          <w:rFonts w:ascii="Arial" w:hAnsi="Arial" w:cs="Arial"/>
        </w:rPr>
        <w:t>In the reinsurance segment, premium</w:t>
      </w:r>
      <w:r w:rsidR="00DA6F6A" w:rsidRPr="00A04BCC">
        <w:rPr>
          <w:rFonts w:ascii="Arial" w:hAnsi="Arial" w:cs="Arial"/>
        </w:rPr>
        <w:t>s earned</w:t>
      </w:r>
      <w:r w:rsidR="00533A98" w:rsidRPr="00A04BCC">
        <w:rPr>
          <w:rFonts w:ascii="Arial" w:hAnsi="Arial" w:cs="Arial"/>
        </w:rPr>
        <w:t xml:space="preserve"> </w:t>
      </w:r>
      <w:r w:rsidR="004E2A5A" w:rsidRPr="00A04BCC">
        <w:rPr>
          <w:rFonts w:ascii="Arial" w:hAnsi="Arial" w:cs="Arial"/>
        </w:rPr>
        <w:t>de</w:t>
      </w:r>
      <w:r w:rsidR="007044C5" w:rsidRPr="00A04BCC">
        <w:rPr>
          <w:rFonts w:ascii="Arial" w:hAnsi="Arial" w:cs="Arial"/>
        </w:rPr>
        <w:t>creased</w:t>
      </w:r>
      <w:r w:rsidR="00673497" w:rsidRPr="00A04BCC">
        <w:rPr>
          <w:rFonts w:ascii="Arial" w:hAnsi="Arial" w:cs="Arial"/>
        </w:rPr>
        <w:t xml:space="preserve"> </w:t>
      </w:r>
      <w:r w:rsidR="004E2A5A" w:rsidRPr="00A04BCC">
        <w:rPr>
          <w:rFonts w:ascii="Arial" w:hAnsi="Arial" w:cs="Arial"/>
        </w:rPr>
        <w:t>4.5</w:t>
      </w:r>
      <w:r w:rsidR="00922C27" w:rsidRPr="00A04BCC">
        <w:rPr>
          <w:rFonts w:ascii="Arial" w:hAnsi="Arial" w:cs="Arial"/>
        </w:rPr>
        <w:t xml:space="preserve"> percent</w:t>
      </w:r>
      <w:r w:rsidR="00051B70" w:rsidRPr="00A04BCC">
        <w:rPr>
          <w:rFonts w:ascii="Arial" w:hAnsi="Arial" w:cs="Arial"/>
        </w:rPr>
        <w:t xml:space="preserve"> due primar</w:t>
      </w:r>
      <w:r w:rsidR="007E04A8" w:rsidRPr="00A04BCC">
        <w:rPr>
          <w:rFonts w:ascii="Arial" w:hAnsi="Arial" w:cs="Arial"/>
        </w:rPr>
        <w:t>ily to</w:t>
      </w:r>
      <w:r w:rsidR="00FA71ED" w:rsidRPr="00A04BCC">
        <w:rPr>
          <w:rFonts w:ascii="Arial" w:hAnsi="Arial" w:cs="Arial"/>
        </w:rPr>
        <w:t xml:space="preserve"> a decline in the pro rata line of business</w:t>
      </w:r>
      <w:r w:rsidR="00D34CD5" w:rsidRPr="00A04BCC">
        <w:rPr>
          <w:rFonts w:ascii="Arial" w:hAnsi="Arial" w:cs="Arial"/>
        </w:rPr>
        <w:t xml:space="preserve"> stemming from the Mutual Reinsurance Bureau underwriting association’s withdrawal from non-standard automobile business</w:t>
      </w:r>
      <w:r w:rsidR="00FA71ED" w:rsidRPr="00A04BCC">
        <w:rPr>
          <w:rFonts w:ascii="Arial" w:hAnsi="Arial" w:cs="Arial"/>
        </w:rPr>
        <w:t>, partially offset by an increase in the excess of loss line of business</w:t>
      </w:r>
      <w:r w:rsidR="00A479C7" w:rsidRPr="00A04BCC">
        <w:rPr>
          <w:rFonts w:ascii="Arial" w:hAnsi="Arial" w:cs="Arial"/>
        </w:rPr>
        <w:t xml:space="preserve">. </w:t>
      </w:r>
      <w:r w:rsidR="00E223A4" w:rsidRPr="00A04BCC">
        <w:rPr>
          <w:rFonts w:ascii="Arial" w:hAnsi="Arial" w:cs="Arial"/>
        </w:rPr>
        <w:t xml:space="preserve"> </w:t>
      </w:r>
    </w:p>
    <w:p w14:paraId="4DBF85D5" w14:textId="77777777" w:rsidR="00F57F30" w:rsidRPr="00A04BCC" w:rsidRDefault="00F57F30" w:rsidP="005F176E">
      <w:pPr>
        <w:pStyle w:val="BodyText"/>
        <w:ind w:left="720"/>
        <w:rPr>
          <w:rFonts w:ascii="Arial" w:hAnsi="Arial" w:cs="Arial"/>
          <w:sz w:val="18"/>
          <w:szCs w:val="18"/>
        </w:rPr>
      </w:pPr>
    </w:p>
    <w:p w14:paraId="7775F9AC" w14:textId="35F93EF5" w:rsidR="00F57F30" w:rsidRPr="00A04BCC" w:rsidRDefault="00713074" w:rsidP="005F176E">
      <w:pPr>
        <w:ind w:left="720" w:firstLine="4"/>
        <w:rPr>
          <w:rFonts w:ascii="Arial" w:hAnsi="Arial" w:cs="Arial"/>
        </w:rPr>
      </w:pPr>
      <w:r w:rsidRPr="00A04BCC">
        <w:rPr>
          <w:rFonts w:ascii="Arial" w:hAnsi="Arial" w:cs="Arial"/>
        </w:rPr>
        <w:t xml:space="preserve">Large losses are defined as reported current accident year losses greater than $500,000 for the EMC Insurance Companies' pool, excluding catastrophe and storm losses. Under the property and casualty insurance segment's prior </w:t>
      </w:r>
      <w:r w:rsidR="00D34CD5" w:rsidRPr="00A04BCC">
        <w:rPr>
          <w:rFonts w:ascii="Arial" w:hAnsi="Arial" w:cs="Arial"/>
        </w:rPr>
        <w:t xml:space="preserve">bulk </w:t>
      </w:r>
      <w:r w:rsidRPr="00A04BCC">
        <w:rPr>
          <w:rFonts w:ascii="Arial" w:hAnsi="Arial" w:cs="Arial"/>
        </w:rPr>
        <w:t>reserving methodology, large losses had a direct impact on earnings. Under the new</w:t>
      </w:r>
      <w:r w:rsidR="00D34CD5" w:rsidRPr="00A04BCC">
        <w:rPr>
          <w:rFonts w:ascii="Arial" w:hAnsi="Arial" w:cs="Arial"/>
        </w:rPr>
        <w:t xml:space="preserve"> bulk</w:t>
      </w:r>
      <w:r w:rsidRPr="00A04BCC">
        <w:rPr>
          <w:rFonts w:ascii="Arial" w:hAnsi="Arial" w:cs="Arial"/>
        </w:rPr>
        <w:t xml:space="preserve"> reserving methodology, large losses are taken into consideration when establishing the current accident quarter/year ultimate estimates of losses, but there is no longer a direct relationship between large losses and earnings. As a result, beginning in the third quarter of 2016, large losses are no longer being reported separately</w:t>
      </w:r>
      <w:r w:rsidR="00B61059" w:rsidRPr="00A04BCC">
        <w:rPr>
          <w:rFonts w:ascii="Arial" w:hAnsi="Arial" w:cs="Arial"/>
        </w:rPr>
        <w:t>.</w:t>
      </w:r>
      <w:r w:rsidRPr="00A04BCC" w:rsidDel="00713074">
        <w:rPr>
          <w:rFonts w:ascii="Arial" w:hAnsi="Arial" w:cs="Arial"/>
        </w:rPr>
        <w:t xml:space="preserve"> </w:t>
      </w:r>
    </w:p>
    <w:p w14:paraId="03F84189" w14:textId="77777777" w:rsidR="0073243E" w:rsidRPr="00A04BCC" w:rsidRDefault="0073243E" w:rsidP="005F176E">
      <w:pPr>
        <w:pStyle w:val="BodyText"/>
        <w:ind w:left="720" w:firstLine="0"/>
        <w:rPr>
          <w:rFonts w:ascii="Arial" w:hAnsi="Arial" w:cs="Arial"/>
          <w:sz w:val="19"/>
          <w:szCs w:val="19"/>
        </w:rPr>
      </w:pPr>
    </w:p>
    <w:p w14:paraId="332144A6" w14:textId="33FA0447" w:rsidR="00466911" w:rsidRPr="00A04BCC" w:rsidRDefault="007200C7" w:rsidP="005F176E">
      <w:pPr>
        <w:widowControl/>
        <w:autoSpaceDE w:val="0"/>
        <w:autoSpaceDN w:val="0"/>
        <w:adjustRightInd w:val="0"/>
        <w:ind w:left="720" w:firstLine="4"/>
        <w:rPr>
          <w:rFonts w:ascii="Arial" w:hAnsi="Arial" w:cs="Arial"/>
        </w:rPr>
      </w:pPr>
      <w:r w:rsidRPr="00A04BCC">
        <w:rPr>
          <w:rFonts w:ascii="Arial" w:hAnsi="Arial" w:cs="Arial"/>
        </w:rPr>
        <w:t>Net i</w:t>
      </w:r>
      <w:r w:rsidR="00F57F30" w:rsidRPr="00A04BCC">
        <w:rPr>
          <w:rFonts w:ascii="Arial" w:hAnsi="Arial" w:cs="Arial"/>
        </w:rPr>
        <w:t xml:space="preserve">nvestment income </w:t>
      </w:r>
      <w:r w:rsidR="007E04A8" w:rsidRPr="00A04BCC">
        <w:rPr>
          <w:rFonts w:ascii="Arial" w:hAnsi="Arial" w:cs="Arial"/>
        </w:rPr>
        <w:t>de</w:t>
      </w:r>
      <w:r w:rsidR="00BF0215" w:rsidRPr="00A04BCC">
        <w:rPr>
          <w:rFonts w:ascii="Arial" w:hAnsi="Arial" w:cs="Arial"/>
        </w:rPr>
        <w:t>c</w:t>
      </w:r>
      <w:r w:rsidR="00D255FF" w:rsidRPr="00A04BCC">
        <w:rPr>
          <w:rFonts w:ascii="Arial" w:hAnsi="Arial" w:cs="Arial"/>
        </w:rPr>
        <w:t>lined</w:t>
      </w:r>
      <w:r w:rsidR="001400BE" w:rsidRPr="00A04BCC">
        <w:rPr>
          <w:rFonts w:ascii="Arial" w:hAnsi="Arial" w:cs="Arial"/>
        </w:rPr>
        <w:t xml:space="preserve"> </w:t>
      </w:r>
      <w:r w:rsidR="00D255FF" w:rsidRPr="00A04BCC">
        <w:rPr>
          <w:rFonts w:ascii="Arial" w:hAnsi="Arial" w:cs="Arial"/>
        </w:rPr>
        <w:t>10</w:t>
      </w:r>
      <w:r w:rsidR="00375395" w:rsidRPr="00A04BCC">
        <w:rPr>
          <w:rFonts w:ascii="Arial" w:hAnsi="Arial" w:cs="Arial"/>
        </w:rPr>
        <w:t>.0</w:t>
      </w:r>
      <w:r w:rsidR="00466911" w:rsidRPr="00A04BCC">
        <w:rPr>
          <w:rFonts w:ascii="Arial" w:hAnsi="Arial" w:cs="Arial"/>
        </w:rPr>
        <w:t xml:space="preserve"> percent</w:t>
      </w:r>
      <w:r w:rsidR="00BF0215" w:rsidRPr="00A04BCC">
        <w:rPr>
          <w:rFonts w:ascii="Arial" w:hAnsi="Arial" w:cs="Arial"/>
        </w:rPr>
        <w:t xml:space="preserve"> to $1</w:t>
      </w:r>
      <w:r w:rsidR="00D255FF" w:rsidRPr="00A04BCC">
        <w:rPr>
          <w:rFonts w:ascii="Arial" w:hAnsi="Arial" w:cs="Arial"/>
        </w:rPr>
        <w:t>1.0</w:t>
      </w:r>
      <w:r w:rsidR="0074183A" w:rsidRPr="00A04BCC">
        <w:rPr>
          <w:rFonts w:ascii="Arial" w:hAnsi="Arial" w:cs="Arial"/>
        </w:rPr>
        <w:t xml:space="preserve"> million</w:t>
      </w:r>
      <w:r w:rsidR="004B5821" w:rsidRPr="00A04BCC">
        <w:rPr>
          <w:rFonts w:ascii="Arial" w:hAnsi="Arial" w:cs="Arial"/>
        </w:rPr>
        <w:t xml:space="preserve"> </w:t>
      </w:r>
      <w:r w:rsidR="0074183A" w:rsidRPr="00A04BCC">
        <w:rPr>
          <w:rFonts w:ascii="Arial" w:hAnsi="Arial" w:cs="Arial"/>
        </w:rPr>
        <w:t xml:space="preserve">for the </w:t>
      </w:r>
      <w:r w:rsidR="00087C1E" w:rsidRPr="00A04BCC">
        <w:rPr>
          <w:rFonts w:ascii="Arial" w:hAnsi="Arial" w:cs="Arial"/>
        </w:rPr>
        <w:t>first</w:t>
      </w:r>
      <w:r w:rsidR="00E15B6D" w:rsidRPr="00A04BCC">
        <w:rPr>
          <w:rFonts w:ascii="Arial" w:hAnsi="Arial" w:cs="Arial"/>
        </w:rPr>
        <w:t xml:space="preserve"> quarter </w:t>
      </w:r>
      <w:r w:rsidR="00087C1E" w:rsidRPr="00A04BCC">
        <w:rPr>
          <w:rFonts w:ascii="Arial" w:hAnsi="Arial" w:cs="Arial"/>
        </w:rPr>
        <w:t>of 201</w:t>
      </w:r>
      <w:r w:rsidR="00713074" w:rsidRPr="00A04BCC">
        <w:rPr>
          <w:rFonts w:ascii="Arial" w:hAnsi="Arial" w:cs="Arial"/>
        </w:rPr>
        <w:t>7</w:t>
      </w:r>
      <w:r w:rsidR="008E61B8" w:rsidRPr="00A04BCC">
        <w:rPr>
          <w:rFonts w:ascii="Arial" w:hAnsi="Arial" w:cs="Arial"/>
        </w:rPr>
        <w:t>,</w:t>
      </w:r>
      <w:r w:rsidR="00466911" w:rsidRPr="00A04BCC">
        <w:rPr>
          <w:rFonts w:ascii="Arial" w:hAnsi="Arial" w:cs="Arial"/>
        </w:rPr>
        <w:t xml:space="preserve"> from $</w:t>
      </w:r>
      <w:r w:rsidR="00087C1E" w:rsidRPr="00A04BCC">
        <w:rPr>
          <w:rFonts w:ascii="Arial" w:hAnsi="Arial" w:cs="Arial"/>
        </w:rPr>
        <w:t>1</w:t>
      </w:r>
      <w:r w:rsidR="00713074" w:rsidRPr="00A04BCC">
        <w:rPr>
          <w:rFonts w:ascii="Arial" w:hAnsi="Arial" w:cs="Arial"/>
        </w:rPr>
        <w:t>2.2</w:t>
      </w:r>
      <w:r w:rsidR="0074183A" w:rsidRPr="00A04BCC">
        <w:rPr>
          <w:rFonts w:ascii="Arial" w:hAnsi="Arial" w:cs="Arial"/>
        </w:rPr>
        <w:t xml:space="preserve"> million </w:t>
      </w:r>
      <w:r w:rsidR="00087C1E" w:rsidRPr="00A04BCC">
        <w:rPr>
          <w:rFonts w:ascii="Arial" w:hAnsi="Arial" w:cs="Arial"/>
        </w:rPr>
        <w:t>in the first quarter of 201</w:t>
      </w:r>
      <w:r w:rsidR="00713074" w:rsidRPr="00A04BCC">
        <w:rPr>
          <w:rFonts w:ascii="Arial" w:hAnsi="Arial" w:cs="Arial"/>
        </w:rPr>
        <w:t>6</w:t>
      </w:r>
      <w:r w:rsidR="00466911" w:rsidRPr="00A04BCC">
        <w:rPr>
          <w:rFonts w:ascii="Arial" w:hAnsi="Arial" w:cs="Arial"/>
        </w:rPr>
        <w:t xml:space="preserve">. </w:t>
      </w:r>
      <w:r w:rsidR="007E04A8" w:rsidRPr="00A04BCC">
        <w:rPr>
          <w:rFonts w:ascii="Arial" w:hAnsi="Arial" w:cs="Arial"/>
        </w:rPr>
        <w:t xml:space="preserve">Net investment income for the first quarter </w:t>
      </w:r>
      <w:r w:rsidR="00CE7F04" w:rsidRPr="00A04BCC">
        <w:rPr>
          <w:rFonts w:ascii="Arial" w:hAnsi="Arial" w:cs="Arial"/>
        </w:rPr>
        <w:t xml:space="preserve">of 2016 included approximately </w:t>
      </w:r>
      <w:r w:rsidR="00FF6B61" w:rsidRPr="00A04BCC">
        <w:rPr>
          <w:rFonts w:ascii="Arial" w:hAnsi="Arial" w:cs="Arial"/>
        </w:rPr>
        <w:t>$48</w:t>
      </w:r>
      <w:r w:rsidR="00041FC6" w:rsidRPr="00A04BCC">
        <w:rPr>
          <w:rFonts w:ascii="Arial" w:hAnsi="Arial" w:cs="Arial"/>
        </w:rPr>
        <w:t xml:space="preserve">0,000 of special </w:t>
      </w:r>
      <w:r w:rsidR="009E3E1C" w:rsidRPr="00A04BCC">
        <w:rPr>
          <w:rFonts w:ascii="Arial" w:hAnsi="Arial" w:cs="Arial"/>
        </w:rPr>
        <w:t>dividend</w:t>
      </w:r>
      <w:r w:rsidR="00041FC6" w:rsidRPr="00A04BCC">
        <w:rPr>
          <w:rFonts w:ascii="Arial" w:hAnsi="Arial" w:cs="Arial"/>
        </w:rPr>
        <w:t>s</w:t>
      </w:r>
      <w:r w:rsidR="00D547FF" w:rsidRPr="00A04BCC">
        <w:rPr>
          <w:rFonts w:ascii="Arial" w:hAnsi="Arial" w:cs="Arial"/>
        </w:rPr>
        <w:t>.</w:t>
      </w:r>
      <w:r w:rsidR="00D255FF" w:rsidRPr="00A04BCC">
        <w:rPr>
          <w:rFonts w:ascii="Arial" w:hAnsi="Arial" w:cs="Arial"/>
        </w:rPr>
        <w:t xml:space="preserve"> </w:t>
      </w:r>
      <w:r w:rsidR="00CE7F04" w:rsidRPr="00A04BCC">
        <w:rPr>
          <w:rFonts w:ascii="Arial" w:hAnsi="Arial" w:cs="Arial"/>
        </w:rPr>
        <w:t>Excluding this amount, n</w:t>
      </w:r>
      <w:r w:rsidR="004F19B2" w:rsidRPr="00A04BCC">
        <w:rPr>
          <w:rFonts w:ascii="Arial" w:hAnsi="Arial" w:cs="Arial"/>
        </w:rPr>
        <w:t xml:space="preserve">et investment income </w:t>
      </w:r>
      <w:r w:rsidR="00D255FF" w:rsidRPr="00A04BCC">
        <w:rPr>
          <w:rFonts w:ascii="Arial" w:hAnsi="Arial" w:cs="Arial"/>
        </w:rPr>
        <w:t xml:space="preserve">declined 6.3 percent due </w:t>
      </w:r>
      <w:r w:rsidR="008656F2" w:rsidRPr="00A04BCC">
        <w:rPr>
          <w:rFonts w:ascii="Arial" w:hAnsi="Arial" w:cs="Arial"/>
        </w:rPr>
        <w:t xml:space="preserve">primarily </w:t>
      </w:r>
      <w:r w:rsidR="00D255FF" w:rsidRPr="00A04BCC">
        <w:rPr>
          <w:rFonts w:ascii="Arial" w:hAnsi="Arial" w:cs="Arial"/>
        </w:rPr>
        <w:t>to</w:t>
      </w:r>
      <w:r w:rsidR="008656F2" w:rsidRPr="00A04BCC">
        <w:rPr>
          <w:rFonts w:ascii="Arial" w:hAnsi="Arial" w:cs="Arial"/>
        </w:rPr>
        <w:t xml:space="preserve"> </w:t>
      </w:r>
      <w:r w:rsidR="00D14463" w:rsidRPr="00A04BCC">
        <w:rPr>
          <w:rFonts w:ascii="Arial" w:hAnsi="Arial" w:cs="Arial"/>
        </w:rPr>
        <w:t xml:space="preserve">increased amortization </w:t>
      </w:r>
      <w:r w:rsidR="00117805" w:rsidRPr="00A04BCC">
        <w:rPr>
          <w:rFonts w:ascii="Arial" w:hAnsi="Arial" w:cs="Arial"/>
        </w:rPr>
        <w:t>of</w:t>
      </w:r>
      <w:r w:rsidR="00D14463" w:rsidRPr="00A04BCC">
        <w:rPr>
          <w:rFonts w:ascii="Arial" w:hAnsi="Arial" w:cs="Arial"/>
        </w:rPr>
        <w:t xml:space="preserve"> fixed maturity </w:t>
      </w:r>
      <w:r w:rsidR="00B61059" w:rsidRPr="00A04BCC">
        <w:rPr>
          <w:rFonts w:ascii="Arial" w:hAnsi="Arial" w:cs="Arial"/>
        </w:rPr>
        <w:t>securities</w:t>
      </w:r>
      <w:r w:rsidR="00D14463" w:rsidRPr="00A04BCC">
        <w:rPr>
          <w:rFonts w:ascii="Arial" w:hAnsi="Arial" w:cs="Arial"/>
        </w:rPr>
        <w:t xml:space="preserve">. </w:t>
      </w:r>
    </w:p>
    <w:p w14:paraId="362310F0" w14:textId="77777777" w:rsidR="008656F2" w:rsidRPr="00A04BCC" w:rsidRDefault="008656F2" w:rsidP="005F176E">
      <w:pPr>
        <w:widowControl/>
        <w:autoSpaceDE w:val="0"/>
        <w:autoSpaceDN w:val="0"/>
        <w:adjustRightInd w:val="0"/>
        <w:ind w:left="720" w:firstLine="4"/>
        <w:rPr>
          <w:rFonts w:ascii="Arial" w:eastAsia="Times New Roman" w:hAnsi="Arial" w:cs="Arial"/>
          <w:sz w:val="19"/>
          <w:szCs w:val="19"/>
        </w:rPr>
      </w:pPr>
    </w:p>
    <w:p w14:paraId="71D467CE" w14:textId="5966D9B9" w:rsidR="00B202CA" w:rsidRDefault="004B5821" w:rsidP="005F176E">
      <w:pPr>
        <w:widowControl/>
        <w:autoSpaceDE w:val="0"/>
        <w:autoSpaceDN w:val="0"/>
        <w:adjustRightInd w:val="0"/>
        <w:ind w:left="720"/>
        <w:rPr>
          <w:rFonts w:ascii="Arial" w:hAnsi="Arial" w:cs="Arial"/>
        </w:rPr>
      </w:pPr>
      <w:r w:rsidRPr="00A04BCC">
        <w:rPr>
          <w:rFonts w:ascii="Arial" w:hAnsi="Arial" w:cs="Arial"/>
        </w:rPr>
        <w:t>Net realized investment losses</w:t>
      </w:r>
      <w:r w:rsidR="00C72237" w:rsidRPr="00A04BCC">
        <w:rPr>
          <w:rFonts w:ascii="Arial" w:hAnsi="Arial" w:cs="Arial"/>
        </w:rPr>
        <w:t xml:space="preserve"> totaled $</w:t>
      </w:r>
      <w:r w:rsidR="00D255FF" w:rsidRPr="00A04BCC">
        <w:rPr>
          <w:rFonts w:ascii="Arial" w:hAnsi="Arial" w:cs="Arial"/>
        </w:rPr>
        <w:t>627,000</w:t>
      </w:r>
      <w:r w:rsidR="00C72237" w:rsidRPr="00A04BCC">
        <w:rPr>
          <w:rFonts w:ascii="Arial" w:hAnsi="Arial" w:cs="Arial"/>
        </w:rPr>
        <w:t xml:space="preserve"> ($0.</w:t>
      </w:r>
      <w:r w:rsidR="00F65DD7" w:rsidRPr="00A04BCC">
        <w:rPr>
          <w:rFonts w:ascii="Arial" w:hAnsi="Arial" w:cs="Arial"/>
        </w:rPr>
        <w:t>0</w:t>
      </w:r>
      <w:r w:rsidR="00D255FF" w:rsidRPr="00A04BCC">
        <w:rPr>
          <w:rFonts w:ascii="Arial" w:hAnsi="Arial" w:cs="Arial"/>
        </w:rPr>
        <w:t>2</w:t>
      </w:r>
      <w:r w:rsidR="00C72237" w:rsidRPr="00A04BCC">
        <w:rPr>
          <w:rFonts w:ascii="Arial" w:hAnsi="Arial" w:cs="Arial"/>
        </w:rPr>
        <w:t xml:space="preserve"> per share</w:t>
      </w:r>
      <w:r w:rsidR="00E461D2" w:rsidRPr="00A04BCC">
        <w:rPr>
          <w:rFonts w:ascii="Arial" w:hAnsi="Arial" w:cs="Arial"/>
        </w:rPr>
        <w:t xml:space="preserve"> after tax</w:t>
      </w:r>
      <w:r w:rsidR="00C72237" w:rsidRPr="00A04BCC">
        <w:rPr>
          <w:rFonts w:ascii="Arial" w:hAnsi="Arial" w:cs="Arial"/>
        </w:rPr>
        <w:t xml:space="preserve">) for the </w:t>
      </w:r>
      <w:r w:rsidR="00087C1E" w:rsidRPr="00A04BCC">
        <w:rPr>
          <w:rFonts w:ascii="Arial" w:hAnsi="Arial" w:cs="Arial"/>
        </w:rPr>
        <w:t>first quarter of 201</w:t>
      </w:r>
      <w:r w:rsidR="00713074" w:rsidRPr="00A04BCC">
        <w:rPr>
          <w:rFonts w:ascii="Arial" w:hAnsi="Arial" w:cs="Arial"/>
        </w:rPr>
        <w:t>7</w:t>
      </w:r>
      <w:r w:rsidRPr="00A04BCC">
        <w:rPr>
          <w:rFonts w:ascii="Arial" w:hAnsi="Arial" w:cs="Arial"/>
        </w:rPr>
        <w:t xml:space="preserve"> </w:t>
      </w:r>
      <w:r w:rsidR="00C72237" w:rsidRPr="00A04BCC">
        <w:rPr>
          <w:rFonts w:ascii="Arial" w:hAnsi="Arial" w:cs="Arial"/>
        </w:rPr>
        <w:t>compared to</w:t>
      </w:r>
      <w:r w:rsidRPr="00A04BCC">
        <w:rPr>
          <w:rFonts w:ascii="Arial" w:hAnsi="Arial" w:cs="Arial"/>
        </w:rPr>
        <w:t xml:space="preserve"> </w:t>
      </w:r>
      <w:r w:rsidR="00C72237" w:rsidRPr="00A04BCC">
        <w:rPr>
          <w:rFonts w:ascii="Arial" w:hAnsi="Arial" w:cs="Arial"/>
        </w:rPr>
        <w:t>$</w:t>
      </w:r>
      <w:r w:rsidR="00713074" w:rsidRPr="00A04BCC">
        <w:rPr>
          <w:rFonts w:ascii="Arial" w:hAnsi="Arial" w:cs="Arial"/>
        </w:rPr>
        <w:t>1.1 million</w:t>
      </w:r>
      <w:r w:rsidR="00727463" w:rsidRPr="00A04BCC">
        <w:rPr>
          <w:rFonts w:ascii="Arial" w:hAnsi="Arial" w:cs="Arial"/>
        </w:rPr>
        <w:t xml:space="preserve"> ($0.0</w:t>
      </w:r>
      <w:r w:rsidR="00CE7F04" w:rsidRPr="00A04BCC">
        <w:rPr>
          <w:rFonts w:ascii="Arial" w:hAnsi="Arial" w:cs="Arial"/>
        </w:rPr>
        <w:t>4</w:t>
      </w:r>
      <w:r w:rsidR="00C72237" w:rsidRPr="00A04BCC">
        <w:rPr>
          <w:rFonts w:ascii="Arial" w:hAnsi="Arial" w:cs="Arial"/>
        </w:rPr>
        <w:t xml:space="preserve"> per share</w:t>
      </w:r>
      <w:r w:rsidR="00E461D2" w:rsidRPr="00A04BCC">
        <w:rPr>
          <w:rFonts w:ascii="Arial" w:hAnsi="Arial" w:cs="Arial"/>
        </w:rPr>
        <w:t xml:space="preserve"> after tax</w:t>
      </w:r>
      <w:r w:rsidR="00C72237" w:rsidRPr="00A04BCC">
        <w:rPr>
          <w:rFonts w:ascii="Arial" w:hAnsi="Arial" w:cs="Arial"/>
        </w:rPr>
        <w:t xml:space="preserve">) for the </w:t>
      </w:r>
      <w:r w:rsidR="00087C1E" w:rsidRPr="00A04BCC">
        <w:rPr>
          <w:rFonts w:ascii="Arial" w:hAnsi="Arial" w:cs="Arial"/>
        </w:rPr>
        <w:t>first</w:t>
      </w:r>
      <w:r w:rsidR="00C72237" w:rsidRPr="00A04BCC">
        <w:rPr>
          <w:rFonts w:ascii="Arial" w:hAnsi="Arial" w:cs="Arial"/>
        </w:rPr>
        <w:t xml:space="preserve"> quarter of 201</w:t>
      </w:r>
      <w:r w:rsidR="00713074" w:rsidRPr="00A04BCC">
        <w:rPr>
          <w:rFonts w:ascii="Arial" w:hAnsi="Arial" w:cs="Arial"/>
        </w:rPr>
        <w:t>6</w:t>
      </w:r>
      <w:r w:rsidR="00C72237" w:rsidRPr="00A04BCC">
        <w:rPr>
          <w:rFonts w:ascii="Arial" w:hAnsi="Arial" w:cs="Arial"/>
        </w:rPr>
        <w:t xml:space="preserve">. </w:t>
      </w:r>
      <w:r w:rsidR="00731124" w:rsidRPr="00A04BCC">
        <w:rPr>
          <w:rFonts w:ascii="Arial" w:hAnsi="Arial" w:cs="Arial"/>
        </w:rPr>
        <w:t xml:space="preserve">Included in net realized investment </w:t>
      </w:r>
      <w:r w:rsidR="00133AC1" w:rsidRPr="00A04BCC">
        <w:rPr>
          <w:rFonts w:ascii="Arial" w:hAnsi="Arial" w:cs="Arial"/>
        </w:rPr>
        <w:t>losses</w:t>
      </w:r>
      <w:r w:rsidR="00731124" w:rsidRPr="00A04BCC">
        <w:rPr>
          <w:rFonts w:ascii="Arial" w:hAnsi="Arial" w:cs="Arial"/>
        </w:rPr>
        <w:t xml:space="preserve"> </w:t>
      </w:r>
      <w:r w:rsidR="00087C1E" w:rsidRPr="00A04BCC">
        <w:rPr>
          <w:rFonts w:ascii="Arial" w:hAnsi="Arial" w:cs="Arial"/>
        </w:rPr>
        <w:t>reported for the first quarters of 201</w:t>
      </w:r>
      <w:r w:rsidR="00713074" w:rsidRPr="00A04BCC">
        <w:rPr>
          <w:rFonts w:ascii="Arial" w:hAnsi="Arial" w:cs="Arial"/>
        </w:rPr>
        <w:t>7</w:t>
      </w:r>
      <w:r w:rsidR="00087C1E" w:rsidRPr="00A04BCC">
        <w:rPr>
          <w:rFonts w:ascii="Arial" w:hAnsi="Arial" w:cs="Arial"/>
        </w:rPr>
        <w:t xml:space="preserve"> and 201</w:t>
      </w:r>
      <w:r w:rsidR="00713074" w:rsidRPr="00A04BCC">
        <w:rPr>
          <w:rFonts w:ascii="Arial" w:hAnsi="Arial" w:cs="Arial"/>
        </w:rPr>
        <w:t>6</w:t>
      </w:r>
      <w:r w:rsidR="00087C1E" w:rsidRPr="00A04BCC">
        <w:rPr>
          <w:rFonts w:ascii="Arial" w:hAnsi="Arial" w:cs="Arial"/>
        </w:rPr>
        <w:t xml:space="preserve"> are </w:t>
      </w:r>
      <w:r w:rsidR="00C446FC" w:rsidRPr="00A04BCC">
        <w:rPr>
          <w:rFonts w:ascii="Arial" w:hAnsi="Arial" w:cs="Arial"/>
        </w:rPr>
        <w:t>$</w:t>
      </w:r>
      <w:r w:rsidR="000A450A" w:rsidRPr="00A04BCC">
        <w:rPr>
          <w:rFonts w:ascii="Arial" w:hAnsi="Arial" w:cs="Arial"/>
        </w:rPr>
        <w:t>2.3</w:t>
      </w:r>
      <w:r w:rsidR="00087C1E" w:rsidRPr="00A04BCC">
        <w:rPr>
          <w:rFonts w:ascii="Arial" w:hAnsi="Arial" w:cs="Arial"/>
        </w:rPr>
        <w:t xml:space="preserve"> million</w:t>
      </w:r>
      <w:r w:rsidR="00087C1E" w:rsidRPr="00C446FC">
        <w:rPr>
          <w:rFonts w:ascii="Arial" w:hAnsi="Arial" w:cs="Arial"/>
        </w:rPr>
        <w:t xml:space="preserve"> and</w:t>
      </w:r>
      <w:r w:rsidR="00087C1E">
        <w:rPr>
          <w:rFonts w:ascii="Arial" w:hAnsi="Arial" w:cs="Arial"/>
        </w:rPr>
        <w:t xml:space="preserve"> $</w:t>
      </w:r>
      <w:r w:rsidR="001400BE">
        <w:rPr>
          <w:rFonts w:ascii="Arial" w:hAnsi="Arial" w:cs="Arial"/>
        </w:rPr>
        <w:t>1</w:t>
      </w:r>
      <w:r w:rsidR="00713074">
        <w:rPr>
          <w:rFonts w:ascii="Arial" w:hAnsi="Arial" w:cs="Arial"/>
        </w:rPr>
        <w:t>.9</w:t>
      </w:r>
      <w:r w:rsidR="001400BE">
        <w:rPr>
          <w:rFonts w:ascii="Arial" w:hAnsi="Arial" w:cs="Arial"/>
        </w:rPr>
        <w:t xml:space="preserve"> million</w:t>
      </w:r>
      <w:r w:rsidR="00087C1E">
        <w:rPr>
          <w:rFonts w:ascii="Arial" w:hAnsi="Arial" w:cs="Arial"/>
        </w:rPr>
        <w:t xml:space="preserve">, </w:t>
      </w:r>
      <w:r w:rsidR="00466911" w:rsidRPr="009E5A8D">
        <w:rPr>
          <w:rFonts w:ascii="Arial" w:hAnsi="Arial" w:cs="Arial"/>
        </w:rPr>
        <w:t>respectively, of</w:t>
      </w:r>
      <w:r w:rsidR="00731124" w:rsidRPr="009E5A8D">
        <w:rPr>
          <w:rFonts w:ascii="Arial" w:hAnsi="Arial" w:cs="Arial"/>
        </w:rPr>
        <w:t xml:space="preserve"> realized investment </w:t>
      </w:r>
      <w:r w:rsidR="00C72237" w:rsidRPr="009E5A8D">
        <w:rPr>
          <w:rFonts w:ascii="Arial" w:hAnsi="Arial" w:cs="Arial"/>
        </w:rPr>
        <w:t>losses</w:t>
      </w:r>
      <w:r w:rsidR="00133AC1" w:rsidRPr="009E5A8D">
        <w:rPr>
          <w:rFonts w:ascii="Arial" w:hAnsi="Arial" w:cs="Arial"/>
        </w:rPr>
        <w:t xml:space="preserve"> attributed to </w:t>
      </w:r>
      <w:r w:rsidR="003134DB" w:rsidRPr="009E5A8D">
        <w:rPr>
          <w:rFonts w:ascii="Arial" w:hAnsi="Arial" w:cs="Arial"/>
        </w:rPr>
        <w:t>a</w:t>
      </w:r>
      <w:r w:rsidR="00133AC1" w:rsidRPr="009E5A8D">
        <w:rPr>
          <w:rFonts w:ascii="Arial" w:hAnsi="Arial" w:cs="Arial"/>
        </w:rPr>
        <w:t xml:space="preserve"> decline</w:t>
      </w:r>
      <w:r w:rsidR="00EB76D8" w:rsidRPr="009E5A8D">
        <w:rPr>
          <w:rFonts w:ascii="Arial" w:hAnsi="Arial" w:cs="Arial"/>
        </w:rPr>
        <w:t xml:space="preserve"> </w:t>
      </w:r>
      <w:r w:rsidR="00731124" w:rsidRPr="009E5A8D">
        <w:rPr>
          <w:rFonts w:ascii="Arial" w:hAnsi="Arial" w:cs="Arial"/>
        </w:rPr>
        <w:t xml:space="preserve">in </w:t>
      </w:r>
      <w:r w:rsidR="008D4C08" w:rsidRPr="009E5A8D">
        <w:rPr>
          <w:rFonts w:ascii="Arial" w:hAnsi="Arial" w:cs="Arial"/>
        </w:rPr>
        <w:t xml:space="preserve">the </w:t>
      </w:r>
      <w:r w:rsidR="00731124" w:rsidRPr="009E5A8D">
        <w:rPr>
          <w:rFonts w:ascii="Arial" w:hAnsi="Arial" w:cs="Arial"/>
        </w:rPr>
        <w:t>carrying value of a limited partnership that helps protect the Company from a sudden and significant decline in th</w:t>
      </w:r>
      <w:r w:rsidR="00EB76D8" w:rsidRPr="009E5A8D">
        <w:rPr>
          <w:rFonts w:ascii="Arial" w:hAnsi="Arial" w:cs="Arial"/>
        </w:rPr>
        <w:t>e value of its equity portfolio</w:t>
      </w:r>
      <w:r w:rsidR="004E6F88" w:rsidRPr="009E5A8D">
        <w:rPr>
          <w:rFonts w:ascii="Arial" w:hAnsi="Arial" w:cs="Arial"/>
        </w:rPr>
        <w:t xml:space="preserve"> (the equity tail-risk hedging strategy)</w:t>
      </w:r>
      <w:r w:rsidR="00EB76D8" w:rsidRPr="009E5A8D">
        <w:rPr>
          <w:rFonts w:ascii="Arial" w:hAnsi="Arial" w:cs="Arial"/>
        </w:rPr>
        <w:t xml:space="preserve">. </w:t>
      </w:r>
    </w:p>
    <w:p w14:paraId="06021225" w14:textId="77777777" w:rsidR="00B202CA" w:rsidRPr="00FA4C92" w:rsidRDefault="00B202CA" w:rsidP="005F176E">
      <w:pPr>
        <w:widowControl/>
        <w:autoSpaceDE w:val="0"/>
        <w:autoSpaceDN w:val="0"/>
        <w:adjustRightInd w:val="0"/>
        <w:ind w:left="720"/>
        <w:rPr>
          <w:rFonts w:ascii="Arial" w:hAnsi="Arial" w:cs="Arial"/>
          <w:sz w:val="19"/>
          <w:szCs w:val="19"/>
        </w:rPr>
      </w:pPr>
    </w:p>
    <w:p w14:paraId="2993D300" w14:textId="1A673DB0" w:rsidR="00F57F30" w:rsidRDefault="00F57F30" w:rsidP="005F176E">
      <w:pPr>
        <w:widowControl/>
        <w:autoSpaceDE w:val="0"/>
        <w:autoSpaceDN w:val="0"/>
        <w:adjustRightInd w:val="0"/>
        <w:ind w:left="720"/>
        <w:rPr>
          <w:rFonts w:ascii="Arial" w:hAnsi="Arial" w:cs="Arial"/>
        </w:rPr>
      </w:pPr>
      <w:r w:rsidRPr="009E5A8D">
        <w:rPr>
          <w:rFonts w:ascii="Arial" w:hAnsi="Arial" w:cs="Arial"/>
        </w:rPr>
        <w:t xml:space="preserve">At </w:t>
      </w:r>
      <w:r w:rsidR="00B202CA">
        <w:rPr>
          <w:rFonts w:ascii="Arial" w:hAnsi="Arial" w:cs="Arial"/>
        </w:rPr>
        <w:t>March</w:t>
      </w:r>
      <w:r w:rsidR="00C61E70" w:rsidRPr="009E5A8D">
        <w:rPr>
          <w:rFonts w:ascii="Arial" w:hAnsi="Arial" w:cs="Arial"/>
        </w:rPr>
        <w:t xml:space="preserve"> 31</w:t>
      </w:r>
      <w:r w:rsidR="00CF1F6B" w:rsidRPr="009E5A8D">
        <w:rPr>
          <w:rFonts w:ascii="Arial" w:hAnsi="Arial" w:cs="Arial"/>
        </w:rPr>
        <w:t>, 201</w:t>
      </w:r>
      <w:r w:rsidR="00713074">
        <w:rPr>
          <w:rFonts w:ascii="Arial" w:hAnsi="Arial" w:cs="Arial"/>
        </w:rPr>
        <w:t>7</w:t>
      </w:r>
      <w:r w:rsidRPr="009E5A8D">
        <w:rPr>
          <w:rFonts w:ascii="Arial" w:hAnsi="Arial" w:cs="Arial"/>
        </w:rPr>
        <w:t xml:space="preserve">, </w:t>
      </w:r>
      <w:r w:rsidRPr="00D255FF">
        <w:rPr>
          <w:rFonts w:ascii="Arial" w:hAnsi="Arial" w:cs="Arial"/>
        </w:rPr>
        <w:t>consolidated assets totaled $</w:t>
      </w:r>
      <w:r w:rsidR="008D5E8E" w:rsidRPr="00D255FF">
        <w:rPr>
          <w:rFonts w:ascii="Arial" w:hAnsi="Arial" w:cs="Arial"/>
        </w:rPr>
        <w:t>1</w:t>
      </w:r>
      <w:r w:rsidR="001A4BA9" w:rsidRPr="00D255FF">
        <w:rPr>
          <w:rFonts w:ascii="Arial" w:hAnsi="Arial" w:cs="Arial"/>
        </w:rPr>
        <w:t>.</w:t>
      </w:r>
      <w:r w:rsidR="00BF0215" w:rsidRPr="00D255FF">
        <w:rPr>
          <w:rFonts w:ascii="Arial" w:hAnsi="Arial" w:cs="Arial"/>
        </w:rPr>
        <w:t>6</w:t>
      </w:r>
      <w:r w:rsidR="00DD728F" w:rsidRPr="00D255FF">
        <w:rPr>
          <w:rFonts w:ascii="Arial" w:hAnsi="Arial" w:cs="Arial"/>
        </w:rPr>
        <w:t xml:space="preserve"> billion,</w:t>
      </w:r>
      <w:r w:rsidRPr="00D255FF">
        <w:rPr>
          <w:rFonts w:ascii="Arial" w:hAnsi="Arial" w:cs="Arial"/>
        </w:rPr>
        <w:t xml:space="preserve"> including $</w:t>
      </w:r>
      <w:r w:rsidR="008D5E8E" w:rsidRPr="00D255FF">
        <w:rPr>
          <w:rFonts w:ascii="Arial" w:hAnsi="Arial" w:cs="Arial"/>
        </w:rPr>
        <w:t>1</w:t>
      </w:r>
      <w:r w:rsidR="00DD728F" w:rsidRPr="00D255FF">
        <w:rPr>
          <w:rFonts w:ascii="Arial" w:hAnsi="Arial" w:cs="Arial"/>
        </w:rPr>
        <w:t>.</w:t>
      </w:r>
      <w:r w:rsidR="00D255FF" w:rsidRPr="00D255FF">
        <w:rPr>
          <w:rFonts w:ascii="Arial" w:hAnsi="Arial" w:cs="Arial"/>
        </w:rPr>
        <w:t>5</w:t>
      </w:r>
      <w:r w:rsidR="00DD728F" w:rsidRPr="00D255FF">
        <w:rPr>
          <w:rFonts w:ascii="Arial" w:hAnsi="Arial" w:cs="Arial"/>
        </w:rPr>
        <w:t xml:space="preserve"> billion</w:t>
      </w:r>
      <w:r w:rsidRPr="00BF0215">
        <w:rPr>
          <w:rFonts w:ascii="Arial" w:hAnsi="Arial" w:cs="Arial"/>
        </w:rPr>
        <w:t xml:space="preserve"> in the investment portfolio, and stockholders’ equity </w:t>
      </w:r>
      <w:r w:rsidRPr="00D255FF">
        <w:rPr>
          <w:rFonts w:ascii="Arial" w:hAnsi="Arial" w:cs="Arial"/>
        </w:rPr>
        <w:t>totaled $</w:t>
      </w:r>
      <w:r w:rsidR="007A48FE" w:rsidRPr="00D255FF">
        <w:rPr>
          <w:rFonts w:ascii="Arial" w:hAnsi="Arial" w:cs="Arial"/>
        </w:rPr>
        <w:t>5</w:t>
      </w:r>
      <w:r w:rsidR="00D255FF" w:rsidRPr="00D255FF">
        <w:rPr>
          <w:rFonts w:ascii="Arial" w:hAnsi="Arial" w:cs="Arial"/>
        </w:rPr>
        <w:t>64.3</w:t>
      </w:r>
      <w:r w:rsidR="00DD728F" w:rsidRPr="00D255FF">
        <w:rPr>
          <w:rFonts w:ascii="Arial" w:hAnsi="Arial" w:cs="Arial"/>
        </w:rPr>
        <w:t xml:space="preserve"> million,</w:t>
      </w:r>
      <w:r w:rsidRPr="00D255FF">
        <w:rPr>
          <w:rFonts w:ascii="Arial" w:hAnsi="Arial" w:cs="Arial"/>
        </w:rPr>
        <w:t xml:space="preserve"> an increase</w:t>
      </w:r>
      <w:r w:rsidR="008F5A0E" w:rsidRPr="00D255FF">
        <w:rPr>
          <w:rFonts w:ascii="Arial" w:hAnsi="Arial" w:cs="Arial"/>
        </w:rPr>
        <w:t xml:space="preserve"> </w:t>
      </w:r>
      <w:r w:rsidRPr="00D255FF">
        <w:rPr>
          <w:rFonts w:ascii="Arial" w:hAnsi="Arial" w:cs="Arial"/>
        </w:rPr>
        <w:t xml:space="preserve">of </w:t>
      </w:r>
      <w:r w:rsidR="00D255FF" w:rsidRPr="00D255FF">
        <w:rPr>
          <w:rFonts w:ascii="Arial" w:hAnsi="Arial" w:cs="Arial"/>
        </w:rPr>
        <w:t>2</w:t>
      </w:r>
      <w:r w:rsidR="00BF0215" w:rsidRPr="00D255FF">
        <w:rPr>
          <w:rFonts w:ascii="Arial" w:hAnsi="Arial" w:cs="Arial"/>
        </w:rPr>
        <w:t>.0</w:t>
      </w:r>
      <w:r w:rsidRPr="00D255FF">
        <w:rPr>
          <w:rFonts w:ascii="Arial" w:hAnsi="Arial" w:cs="Arial"/>
        </w:rPr>
        <w:t xml:space="preserve"> percent</w:t>
      </w:r>
      <w:r w:rsidRPr="009E5A8D">
        <w:rPr>
          <w:rFonts w:ascii="Arial" w:hAnsi="Arial" w:cs="Arial"/>
        </w:rPr>
        <w:t xml:space="preserve"> </w:t>
      </w:r>
      <w:r w:rsidR="00727463">
        <w:rPr>
          <w:rFonts w:ascii="Arial" w:hAnsi="Arial" w:cs="Arial"/>
        </w:rPr>
        <w:t>from December</w:t>
      </w:r>
      <w:r w:rsidRPr="009E5A8D">
        <w:rPr>
          <w:rFonts w:ascii="Arial" w:hAnsi="Arial" w:cs="Arial"/>
        </w:rPr>
        <w:t xml:space="preserve"> 31, 201</w:t>
      </w:r>
      <w:r w:rsidR="00713074">
        <w:rPr>
          <w:rFonts w:ascii="Arial" w:hAnsi="Arial" w:cs="Arial"/>
        </w:rPr>
        <w:t>6</w:t>
      </w:r>
      <w:r w:rsidR="00CB048F" w:rsidRPr="009E5A8D">
        <w:rPr>
          <w:rFonts w:ascii="Arial" w:hAnsi="Arial" w:cs="Arial"/>
        </w:rPr>
        <w:t>. B</w:t>
      </w:r>
      <w:r w:rsidRPr="009E5A8D">
        <w:rPr>
          <w:rFonts w:ascii="Arial" w:hAnsi="Arial" w:cs="Arial"/>
        </w:rPr>
        <w:t xml:space="preserve">ook value of the Company’s </w:t>
      </w:r>
      <w:r w:rsidRPr="00D255FF">
        <w:rPr>
          <w:rFonts w:ascii="Arial" w:hAnsi="Arial" w:cs="Arial"/>
        </w:rPr>
        <w:t xml:space="preserve">stock </w:t>
      </w:r>
      <w:r w:rsidR="001A4BA9" w:rsidRPr="00D255FF">
        <w:rPr>
          <w:rFonts w:ascii="Arial" w:hAnsi="Arial" w:cs="Arial"/>
        </w:rPr>
        <w:t xml:space="preserve">increased </w:t>
      </w:r>
      <w:r w:rsidR="00D255FF" w:rsidRPr="00D255FF">
        <w:rPr>
          <w:rFonts w:ascii="Arial" w:hAnsi="Arial" w:cs="Arial"/>
        </w:rPr>
        <w:t>1.9</w:t>
      </w:r>
      <w:r w:rsidR="00CB36CC" w:rsidRPr="00D255FF">
        <w:rPr>
          <w:rFonts w:ascii="Arial" w:hAnsi="Arial" w:cs="Arial"/>
        </w:rPr>
        <w:t xml:space="preserve"> percent</w:t>
      </w:r>
      <w:r w:rsidR="000B6BE2" w:rsidRPr="00D255FF">
        <w:rPr>
          <w:rFonts w:ascii="Arial" w:hAnsi="Arial" w:cs="Arial"/>
        </w:rPr>
        <w:t xml:space="preserve"> </w:t>
      </w:r>
      <w:r w:rsidR="00CB36CC" w:rsidRPr="00D255FF">
        <w:rPr>
          <w:rFonts w:ascii="Arial" w:hAnsi="Arial" w:cs="Arial"/>
        </w:rPr>
        <w:t>to</w:t>
      </w:r>
      <w:r w:rsidR="00197F48" w:rsidRPr="00D255FF">
        <w:rPr>
          <w:rFonts w:ascii="Arial" w:hAnsi="Arial" w:cs="Arial"/>
        </w:rPr>
        <w:t xml:space="preserve"> </w:t>
      </w:r>
      <w:r w:rsidRPr="00D255FF">
        <w:rPr>
          <w:rFonts w:ascii="Arial" w:hAnsi="Arial" w:cs="Arial"/>
        </w:rPr>
        <w:t>$</w:t>
      </w:r>
      <w:r w:rsidR="00704F44" w:rsidRPr="00D255FF">
        <w:rPr>
          <w:rFonts w:ascii="Arial" w:hAnsi="Arial" w:cs="Arial"/>
        </w:rPr>
        <w:t>26.</w:t>
      </w:r>
      <w:r w:rsidR="00D255FF" w:rsidRPr="00D255FF">
        <w:rPr>
          <w:rFonts w:ascii="Arial" w:hAnsi="Arial" w:cs="Arial"/>
        </w:rPr>
        <w:t>57</w:t>
      </w:r>
      <w:r w:rsidR="000B6BE2" w:rsidRPr="00D255FF">
        <w:rPr>
          <w:rFonts w:ascii="Arial" w:hAnsi="Arial" w:cs="Arial"/>
        </w:rPr>
        <w:t xml:space="preserve"> per</w:t>
      </w:r>
      <w:r w:rsidR="000B6BE2" w:rsidRPr="00704F44">
        <w:rPr>
          <w:rFonts w:ascii="Arial" w:hAnsi="Arial" w:cs="Arial"/>
        </w:rPr>
        <w:t xml:space="preserve"> share</w:t>
      </w:r>
      <w:r w:rsidR="000B6BE2" w:rsidRPr="009E5A8D">
        <w:rPr>
          <w:rFonts w:ascii="Arial" w:hAnsi="Arial" w:cs="Arial"/>
        </w:rPr>
        <w:t xml:space="preserve"> </w:t>
      </w:r>
      <w:r w:rsidR="00297D8B" w:rsidRPr="009E5A8D">
        <w:rPr>
          <w:rFonts w:ascii="Arial" w:hAnsi="Arial" w:cs="Arial"/>
        </w:rPr>
        <w:t>from</w:t>
      </w:r>
      <w:r w:rsidRPr="009E5A8D">
        <w:rPr>
          <w:rFonts w:ascii="Arial" w:hAnsi="Arial" w:cs="Arial"/>
        </w:rPr>
        <w:t xml:space="preserve"> $</w:t>
      </w:r>
      <w:r w:rsidR="001400BE">
        <w:rPr>
          <w:rFonts w:ascii="Arial" w:hAnsi="Arial" w:cs="Arial"/>
        </w:rPr>
        <w:t>2</w:t>
      </w:r>
      <w:r w:rsidR="00713074">
        <w:rPr>
          <w:rFonts w:ascii="Arial" w:hAnsi="Arial" w:cs="Arial"/>
        </w:rPr>
        <w:t>6.07</w:t>
      </w:r>
      <w:r w:rsidR="0002438F" w:rsidRPr="009E5A8D">
        <w:rPr>
          <w:rFonts w:ascii="Arial" w:hAnsi="Arial" w:cs="Arial"/>
        </w:rPr>
        <w:t xml:space="preserve"> </w:t>
      </w:r>
      <w:r w:rsidRPr="009E5A8D">
        <w:rPr>
          <w:rFonts w:ascii="Arial" w:hAnsi="Arial" w:cs="Arial"/>
        </w:rPr>
        <w:t>per share at December 31, 201</w:t>
      </w:r>
      <w:r w:rsidR="00713074">
        <w:rPr>
          <w:rFonts w:ascii="Arial" w:hAnsi="Arial" w:cs="Arial"/>
        </w:rPr>
        <w:t>6</w:t>
      </w:r>
      <w:r w:rsidR="000B6BE2" w:rsidRPr="009E5A8D">
        <w:rPr>
          <w:rFonts w:ascii="Arial" w:hAnsi="Arial" w:cs="Arial"/>
        </w:rPr>
        <w:t>.</w:t>
      </w:r>
      <w:r w:rsidR="00413B71" w:rsidRPr="009E5A8D">
        <w:rPr>
          <w:rFonts w:ascii="Arial" w:hAnsi="Arial" w:cs="Arial"/>
        </w:rPr>
        <w:t xml:space="preserve"> </w:t>
      </w:r>
      <w:r w:rsidRPr="009E5A8D">
        <w:rPr>
          <w:rFonts w:ascii="Arial" w:hAnsi="Arial" w:cs="Arial"/>
        </w:rPr>
        <w:t xml:space="preserve">Book value excluding accumulated other comprehensive income </w:t>
      </w:r>
      <w:r w:rsidR="001B628E">
        <w:rPr>
          <w:rFonts w:ascii="Arial" w:hAnsi="Arial" w:cs="Arial"/>
        </w:rPr>
        <w:t xml:space="preserve">was </w:t>
      </w:r>
      <w:r w:rsidR="001B628E">
        <w:rPr>
          <w:rFonts w:ascii="Arial" w:hAnsi="Arial" w:cs="Arial"/>
        </w:rPr>
        <w:lastRenderedPageBreak/>
        <w:t xml:space="preserve">relatively flat at $24.01 per share at March 31, 2017, compared to </w:t>
      </w:r>
      <w:r w:rsidR="00727463" w:rsidRPr="001400BE">
        <w:rPr>
          <w:rFonts w:ascii="Arial" w:hAnsi="Arial" w:cs="Arial"/>
        </w:rPr>
        <w:t>$2</w:t>
      </w:r>
      <w:r w:rsidR="00713074">
        <w:rPr>
          <w:rFonts w:ascii="Arial" w:hAnsi="Arial" w:cs="Arial"/>
        </w:rPr>
        <w:t>3.90</w:t>
      </w:r>
      <w:r w:rsidRPr="001400BE">
        <w:rPr>
          <w:rFonts w:ascii="Arial" w:hAnsi="Arial" w:cs="Arial"/>
        </w:rPr>
        <w:t xml:space="preserve"> per share</w:t>
      </w:r>
      <w:r w:rsidRPr="009E5A8D">
        <w:rPr>
          <w:rFonts w:ascii="Arial" w:hAnsi="Arial" w:cs="Arial"/>
        </w:rPr>
        <w:t xml:space="preserve"> at December 31, 201</w:t>
      </w:r>
      <w:r w:rsidR="00713074">
        <w:rPr>
          <w:rFonts w:ascii="Arial" w:hAnsi="Arial" w:cs="Arial"/>
        </w:rPr>
        <w:t>6</w:t>
      </w:r>
      <w:r w:rsidRPr="009E5A8D">
        <w:rPr>
          <w:rFonts w:ascii="Arial" w:hAnsi="Arial" w:cs="Arial"/>
        </w:rPr>
        <w:t>.</w:t>
      </w:r>
      <w:r w:rsidR="0020429E" w:rsidRPr="009E5A8D">
        <w:rPr>
          <w:rFonts w:ascii="Arial" w:hAnsi="Arial" w:cs="Arial"/>
        </w:rPr>
        <w:t xml:space="preserve"> </w:t>
      </w:r>
    </w:p>
    <w:p w14:paraId="35CF8F0D" w14:textId="4674E922" w:rsidR="00D93F23" w:rsidRDefault="00D93F23">
      <w:pPr>
        <w:rPr>
          <w:rFonts w:ascii="Arial" w:eastAsia="Times New Roman" w:hAnsi="Arial" w:cs="Arial"/>
        </w:rPr>
      </w:pPr>
    </w:p>
    <w:p w14:paraId="6227C10A" w14:textId="411AA242" w:rsidR="002252B4" w:rsidRPr="00586D58" w:rsidRDefault="00416172" w:rsidP="005F176E">
      <w:pPr>
        <w:pStyle w:val="BodyText"/>
        <w:ind w:left="720" w:firstLine="4"/>
        <w:rPr>
          <w:rFonts w:ascii="Arial" w:hAnsi="Arial" w:cs="Arial"/>
        </w:rPr>
      </w:pPr>
      <w:r>
        <w:rPr>
          <w:rFonts w:ascii="Arial" w:hAnsi="Arial" w:cs="Arial"/>
        </w:rPr>
        <w:t>Based on results for the first quarter of 201</w:t>
      </w:r>
      <w:r w:rsidR="00CE7F04">
        <w:rPr>
          <w:rFonts w:ascii="Arial" w:hAnsi="Arial" w:cs="Arial"/>
        </w:rPr>
        <w:t>7</w:t>
      </w:r>
      <w:r>
        <w:rPr>
          <w:rFonts w:ascii="Arial" w:hAnsi="Arial" w:cs="Arial"/>
        </w:rPr>
        <w:t xml:space="preserve"> and management’s expectations for the remainder of the year, manage</w:t>
      </w:r>
      <w:r w:rsidRPr="00CC09D9">
        <w:rPr>
          <w:rFonts w:ascii="Arial" w:hAnsi="Arial" w:cs="Arial"/>
        </w:rPr>
        <w:t>ment is reaffirming its 201</w:t>
      </w:r>
      <w:r w:rsidR="00CE7F04" w:rsidRPr="00CC09D9">
        <w:rPr>
          <w:rFonts w:ascii="Arial" w:hAnsi="Arial" w:cs="Arial"/>
        </w:rPr>
        <w:t>7</w:t>
      </w:r>
      <w:r w:rsidRPr="00CC09D9">
        <w:rPr>
          <w:rFonts w:ascii="Arial" w:hAnsi="Arial" w:cs="Arial"/>
        </w:rPr>
        <w:t xml:space="preserve"> </w:t>
      </w:r>
      <w:r w:rsidR="00F15A74">
        <w:rPr>
          <w:rFonts w:ascii="Arial" w:hAnsi="Arial" w:cs="Arial"/>
        </w:rPr>
        <w:t xml:space="preserve">non-GAAP </w:t>
      </w:r>
      <w:r w:rsidRPr="00CC09D9">
        <w:rPr>
          <w:rFonts w:ascii="Arial" w:hAnsi="Arial" w:cs="Arial"/>
        </w:rPr>
        <w:t>operating income</w:t>
      </w:r>
      <w:r w:rsidR="002252B4" w:rsidRPr="00CC09D9">
        <w:rPr>
          <w:rFonts w:ascii="Arial" w:hAnsi="Arial" w:cs="Arial"/>
        </w:rPr>
        <w:t xml:space="preserve"> </w:t>
      </w:r>
      <w:r w:rsidR="0073583D" w:rsidRPr="00CC09D9">
        <w:rPr>
          <w:rFonts w:ascii="Arial" w:hAnsi="Arial" w:cs="Arial"/>
        </w:rPr>
        <w:t xml:space="preserve">guidance in the </w:t>
      </w:r>
      <w:r w:rsidR="002252B4" w:rsidRPr="00CC09D9">
        <w:rPr>
          <w:rFonts w:ascii="Arial" w:hAnsi="Arial" w:cs="Arial"/>
        </w:rPr>
        <w:t>range of $1.</w:t>
      </w:r>
      <w:r w:rsidR="00CE7F04" w:rsidRPr="00CC09D9">
        <w:rPr>
          <w:rFonts w:ascii="Arial" w:hAnsi="Arial" w:cs="Arial"/>
        </w:rPr>
        <w:t>35</w:t>
      </w:r>
      <w:r w:rsidR="002252B4" w:rsidRPr="00CC09D9">
        <w:rPr>
          <w:rFonts w:ascii="Arial" w:hAnsi="Arial" w:cs="Arial"/>
        </w:rPr>
        <w:t xml:space="preserve"> to $1.</w:t>
      </w:r>
      <w:r w:rsidR="00CE7F04" w:rsidRPr="00CC09D9">
        <w:rPr>
          <w:rFonts w:ascii="Arial" w:hAnsi="Arial" w:cs="Arial"/>
        </w:rPr>
        <w:t>55</w:t>
      </w:r>
      <w:r w:rsidR="002252B4" w:rsidRPr="00CC09D9">
        <w:rPr>
          <w:rFonts w:ascii="Arial" w:hAnsi="Arial" w:cs="Arial"/>
        </w:rPr>
        <w:t xml:space="preserve"> per share. </w:t>
      </w:r>
      <w:r w:rsidR="002252B4" w:rsidRPr="00F15A74">
        <w:rPr>
          <w:rFonts w:ascii="Arial" w:hAnsi="Arial" w:cs="Arial"/>
        </w:rPr>
        <w:t xml:space="preserve">This guidance is based on a projected GAAP combined ratio of </w:t>
      </w:r>
      <w:r w:rsidR="00F15A74" w:rsidRPr="00F15A74">
        <w:rPr>
          <w:rFonts w:ascii="Arial" w:hAnsi="Arial" w:cs="Arial"/>
        </w:rPr>
        <w:t>100.</w:t>
      </w:r>
      <w:r w:rsidR="00E72E98">
        <w:rPr>
          <w:rFonts w:ascii="Arial" w:hAnsi="Arial" w:cs="Arial"/>
        </w:rPr>
        <w:t>1</w:t>
      </w:r>
      <w:r w:rsidR="002252B4" w:rsidRPr="00F15A74">
        <w:rPr>
          <w:rFonts w:ascii="Arial" w:hAnsi="Arial" w:cs="Arial"/>
        </w:rPr>
        <w:t xml:space="preserve"> percent</w:t>
      </w:r>
      <w:r w:rsidR="00566CE5" w:rsidRPr="00F15A74">
        <w:rPr>
          <w:rFonts w:ascii="Arial" w:hAnsi="Arial" w:cs="Arial"/>
        </w:rPr>
        <w:t xml:space="preserve"> for the ye</w:t>
      </w:r>
      <w:r w:rsidR="004E6C2B" w:rsidRPr="00F15A74">
        <w:rPr>
          <w:rFonts w:ascii="Arial" w:hAnsi="Arial" w:cs="Arial"/>
        </w:rPr>
        <w:t>ar</w:t>
      </w:r>
      <w:r w:rsidR="00AA6207">
        <w:rPr>
          <w:rFonts w:ascii="Arial" w:hAnsi="Arial" w:cs="Arial"/>
        </w:rPr>
        <w:t xml:space="preserve"> and </w:t>
      </w:r>
      <w:r w:rsidR="009F70EF">
        <w:rPr>
          <w:rFonts w:ascii="Arial" w:hAnsi="Arial" w:cs="Arial"/>
        </w:rPr>
        <w:t xml:space="preserve">a decline in </w:t>
      </w:r>
      <w:r w:rsidR="00AA6207">
        <w:rPr>
          <w:rFonts w:ascii="Arial" w:hAnsi="Arial" w:cs="Arial"/>
        </w:rPr>
        <w:t>investment income i</w:t>
      </w:r>
      <w:r w:rsidR="00E72E98">
        <w:rPr>
          <w:rFonts w:ascii="Arial" w:hAnsi="Arial" w:cs="Arial"/>
        </w:rPr>
        <w:t xml:space="preserve">n the low- to mid-single digits, </w:t>
      </w:r>
      <w:r w:rsidR="00566CE5" w:rsidRPr="00E72E98">
        <w:rPr>
          <w:rFonts w:ascii="Arial" w:hAnsi="Arial" w:cs="Arial"/>
        </w:rPr>
        <w:t>with nominal changes to the other assumptions utilized in the projection</w:t>
      </w:r>
      <w:r w:rsidR="004E6C2B" w:rsidRPr="00E72E98">
        <w:rPr>
          <w:rFonts w:ascii="Arial" w:hAnsi="Arial" w:cs="Arial"/>
        </w:rPr>
        <w:t>.</w:t>
      </w:r>
      <w:r w:rsidR="002252B4" w:rsidRPr="00E456B1">
        <w:rPr>
          <w:rFonts w:ascii="Arial" w:hAnsi="Arial" w:cs="Arial"/>
        </w:rPr>
        <w:t xml:space="preserve"> </w:t>
      </w:r>
    </w:p>
    <w:p w14:paraId="27127F44" w14:textId="77777777" w:rsidR="007D4EC0" w:rsidRPr="009E5A8D" w:rsidRDefault="007D4EC0" w:rsidP="005F176E">
      <w:pPr>
        <w:pStyle w:val="BodyText"/>
        <w:ind w:left="720" w:firstLine="4"/>
        <w:rPr>
          <w:rFonts w:ascii="Arial" w:hAnsi="Arial" w:cs="Arial"/>
          <w:sz w:val="20"/>
          <w:szCs w:val="20"/>
        </w:rPr>
      </w:pPr>
    </w:p>
    <w:p w14:paraId="0E24238B" w14:textId="2880FCB5" w:rsidR="00F57F30" w:rsidRPr="009E5A8D" w:rsidRDefault="00F57F30" w:rsidP="005F176E">
      <w:pPr>
        <w:ind w:left="720" w:firstLine="4"/>
        <w:rPr>
          <w:rFonts w:ascii="Arial" w:hAnsi="Arial" w:cs="Arial"/>
        </w:rPr>
      </w:pPr>
      <w:r w:rsidRPr="009E5A8D">
        <w:rPr>
          <w:rFonts w:ascii="Arial" w:hAnsi="Arial" w:cs="Arial"/>
        </w:rPr>
        <w:t xml:space="preserve">The Company will hold an earnings teleconference call at </w:t>
      </w:r>
      <w:r w:rsidR="00B45ED1" w:rsidRPr="009E5A8D">
        <w:rPr>
          <w:rFonts w:ascii="Arial" w:hAnsi="Arial" w:cs="Arial"/>
        </w:rPr>
        <w:t>noon</w:t>
      </w:r>
      <w:r w:rsidRPr="009E5A8D">
        <w:rPr>
          <w:rFonts w:ascii="Arial" w:hAnsi="Arial" w:cs="Arial"/>
        </w:rPr>
        <w:t xml:space="preserve"> </w:t>
      </w:r>
      <w:r w:rsidR="006A72F9" w:rsidRPr="009E5A8D">
        <w:rPr>
          <w:rFonts w:ascii="Arial" w:hAnsi="Arial" w:cs="Arial"/>
        </w:rPr>
        <w:t>E</w:t>
      </w:r>
      <w:r w:rsidR="00D66B63" w:rsidRPr="009E5A8D">
        <w:rPr>
          <w:rFonts w:ascii="Arial" w:hAnsi="Arial" w:cs="Arial"/>
        </w:rPr>
        <w:t xml:space="preserve">astern </w:t>
      </w:r>
      <w:r w:rsidR="00B45ED1" w:rsidRPr="009E5A8D">
        <w:rPr>
          <w:rFonts w:ascii="Arial" w:hAnsi="Arial" w:cs="Arial"/>
        </w:rPr>
        <w:t>t</w:t>
      </w:r>
      <w:r w:rsidR="00D66B63" w:rsidRPr="009E5A8D">
        <w:rPr>
          <w:rFonts w:ascii="Arial" w:hAnsi="Arial" w:cs="Arial"/>
        </w:rPr>
        <w:t>ime</w:t>
      </w:r>
      <w:r w:rsidRPr="009E5A8D">
        <w:rPr>
          <w:rFonts w:ascii="Arial" w:hAnsi="Arial" w:cs="Arial"/>
        </w:rPr>
        <w:t xml:space="preserve"> on </w:t>
      </w:r>
      <w:r w:rsidR="009C405A">
        <w:rPr>
          <w:rFonts w:ascii="Arial" w:hAnsi="Arial" w:cs="Arial"/>
        </w:rPr>
        <w:t xml:space="preserve">Friday, </w:t>
      </w:r>
      <w:r w:rsidR="001400BE">
        <w:rPr>
          <w:rFonts w:ascii="Arial" w:hAnsi="Arial" w:cs="Arial"/>
        </w:rPr>
        <w:t xml:space="preserve">May </w:t>
      </w:r>
      <w:r w:rsidR="00CE7F04">
        <w:rPr>
          <w:rFonts w:ascii="Arial" w:hAnsi="Arial" w:cs="Arial"/>
        </w:rPr>
        <w:t>5</w:t>
      </w:r>
      <w:r w:rsidRPr="009E5A8D">
        <w:rPr>
          <w:rFonts w:ascii="Arial" w:hAnsi="Arial" w:cs="Arial"/>
        </w:rPr>
        <w:t>, 201</w:t>
      </w:r>
      <w:r w:rsidR="00CE7F04">
        <w:rPr>
          <w:rFonts w:ascii="Arial" w:hAnsi="Arial" w:cs="Arial"/>
        </w:rPr>
        <w:t>7</w:t>
      </w:r>
      <w:r w:rsidRPr="009E5A8D">
        <w:rPr>
          <w:rFonts w:ascii="Arial" w:hAnsi="Arial" w:cs="Arial"/>
        </w:rPr>
        <w:t xml:space="preserve"> to allow securities analysts, stockholders and other interested parties the opportunity to hear management discus</w:t>
      </w:r>
      <w:r w:rsidR="001815B5" w:rsidRPr="009E5A8D">
        <w:rPr>
          <w:rFonts w:ascii="Arial" w:hAnsi="Arial" w:cs="Arial"/>
        </w:rPr>
        <w:t>s the Company’s results for the</w:t>
      </w:r>
      <w:r w:rsidR="00BC72C8" w:rsidRPr="009E5A8D">
        <w:rPr>
          <w:rFonts w:ascii="Arial" w:hAnsi="Arial" w:cs="Arial"/>
        </w:rPr>
        <w:t xml:space="preserve"> </w:t>
      </w:r>
      <w:r w:rsidR="001B58AF">
        <w:rPr>
          <w:rFonts w:ascii="Arial" w:hAnsi="Arial" w:cs="Arial"/>
        </w:rPr>
        <w:t>first</w:t>
      </w:r>
      <w:r w:rsidR="004829F1" w:rsidRPr="009E5A8D">
        <w:rPr>
          <w:rFonts w:ascii="Arial" w:hAnsi="Arial" w:cs="Arial"/>
        </w:rPr>
        <w:t xml:space="preserve"> </w:t>
      </w:r>
      <w:r w:rsidRPr="009E5A8D">
        <w:rPr>
          <w:rFonts w:ascii="Arial" w:hAnsi="Arial" w:cs="Arial"/>
        </w:rPr>
        <w:t>quarter</w:t>
      </w:r>
      <w:r w:rsidR="007528A1" w:rsidRPr="009E5A8D">
        <w:rPr>
          <w:rFonts w:ascii="Arial" w:hAnsi="Arial" w:cs="Arial"/>
        </w:rPr>
        <w:t>,</w:t>
      </w:r>
      <w:r w:rsidR="004829F1" w:rsidRPr="009E5A8D">
        <w:rPr>
          <w:rFonts w:ascii="Arial" w:hAnsi="Arial" w:cs="Arial"/>
        </w:rPr>
        <w:t xml:space="preserve"> </w:t>
      </w:r>
      <w:r w:rsidRPr="009E5A8D">
        <w:rPr>
          <w:rFonts w:ascii="Arial" w:hAnsi="Arial" w:cs="Arial"/>
        </w:rPr>
        <w:t>as well as its expectations for</w:t>
      </w:r>
      <w:r w:rsidR="005F1E8C" w:rsidRPr="009E5A8D">
        <w:rPr>
          <w:rFonts w:ascii="Arial" w:hAnsi="Arial" w:cs="Arial"/>
        </w:rPr>
        <w:t xml:space="preserve"> </w:t>
      </w:r>
      <w:r w:rsidR="009F70EF">
        <w:rPr>
          <w:rFonts w:ascii="Arial" w:hAnsi="Arial" w:cs="Arial"/>
        </w:rPr>
        <w:t>the remainder</w:t>
      </w:r>
      <w:r w:rsidR="00416172">
        <w:rPr>
          <w:rFonts w:ascii="Arial" w:hAnsi="Arial" w:cs="Arial"/>
        </w:rPr>
        <w:t xml:space="preserve"> of </w:t>
      </w:r>
      <w:r w:rsidRPr="009E5A8D">
        <w:rPr>
          <w:rFonts w:ascii="Arial" w:hAnsi="Arial" w:cs="Arial"/>
        </w:rPr>
        <w:t>201</w:t>
      </w:r>
      <w:r w:rsidR="00CE7F04">
        <w:rPr>
          <w:rFonts w:ascii="Arial" w:hAnsi="Arial" w:cs="Arial"/>
        </w:rPr>
        <w:t>7</w:t>
      </w:r>
      <w:r w:rsidRPr="009E5A8D">
        <w:rPr>
          <w:rFonts w:ascii="Arial" w:hAnsi="Arial" w:cs="Arial"/>
        </w:rPr>
        <w:t>.</w:t>
      </w:r>
      <w:r w:rsidR="006A7EF5" w:rsidRPr="009E5A8D">
        <w:rPr>
          <w:rFonts w:ascii="Arial" w:hAnsi="Arial" w:cs="Arial"/>
        </w:rPr>
        <w:t xml:space="preserve"> </w:t>
      </w:r>
      <w:r w:rsidRPr="009E5A8D">
        <w:rPr>
          <w:rFonts w:ascii="Arial" w:hAnsi="Arial" w:cs="Arial"/>
        </w:rPr>
        <w:t>Dial-in information for the call is toll-free 1-8</w:t>
      </w:r>
      <w:r w:rsidR="002E52F2">
        <w:rPr>
          <w:rFonts w:ascii="Arial" w:hAnsi="Arial" w:cs="Arial"/>
        </w:rPr>
        <w:t>66</w:t>
      </w:r>
      <w:r w:rsidRPr="009E5A8D">
        <w:rPr>
          <w:rFonts w:ascii="Arial" w:hAnsi="Arial" w:cs="Arial"/>
        </w:rPr>
        <w:t>-</w:t>
      </w:r>
      <w:r w:rsidR="00CE7F04">
        <w:rPr>
          <w:rFonts w:ascii="Arial" w:hAnsi="Arial" w:cs="Arial"/>
        </w:rPr>
        <w:t>652</w:t>
      </w:r>
      <w:r w:rsidRPr="009E5A8D">
        <w:rPr>
          <w:rFonts w:ascii="Arial" w:hAnsi="Arial" w:cs="Arial"/>
        </w:rPr>
        <w:t>-</w:t>
      </w:r>
      <w:r w:rsidR="00CE7F04">
        <w:rPr>
          <w:rFonts w:ascii="Arial" w:hAnsi="Arial" w:cs="Arial"/>
        </w:rPr>
        <w:t>5201</w:t>
      </w:r>
      <w:r w:rsidRPr="009E5A8D">
        <w:rPr>
          <w:rFonts w:ascii="Arial" w:hAnsi="Arial" w:cs="Arial"/>
        </w:rPr>
        <w:t xml:space="preserve"> (International: 1-</w:t>
      </w:r>
      <w:r w:rsidR="00CE7F04">
        <w:rPr>
          <w:rFonts w:ascii="Arial" w:hAnsi="Arial" w:cs="Arial"/>
        </w:rPr>
        <w:t>412</w:t>
      </w:r>
      <w:r w:rsidRPr="009E5A8D">
        <w:rPr>
          <w:rFonts w:ascii="Arial" w:hAnsi="Arial" w:cs="Arial"/>
        </w:rPr>
        <w:t>-</w:t>
      </w:r>
      <w:r w:rsidR="00CE7F04">
        <w:rPr>
          <w:rFonts w:ascii="Arial" w:hAnsi="Arial" w:cs="Arial"/>
        </w:rPr>
        <w:t>317</w:t>
      </w:r>
      <w:r w:rsidRPr="009E5A8D">
        <w:rPr>
          <w:rFonts w:ascii="Arial" w:hAnsi="Arial" w:cs="Arial"/>
        </w:rPr>
        <w:t>-</w:t>
      </w:r>
      <w:r w:rsidR="00CE7F04">
        <w:rPr>
          <w:rFonts w:ascii="Arial" w:hAnsi="Arial" w:cs="Arial"/>
        </w:rPr>
        <w:t>6060</w:t>
      </w:r>
      <w:r w:rsidRPr="009E5A8D">
        <w:rPr>
          <w:rFonts w:ascii="Arial" w:hAnsi="Arial" w:cs="Arial"/>
        </w:rPr>
        <w:t>).</w:t>
      </w:r>
      <w:r w:rsidR="006A7EF5" w:rsidRPr="009E5A8D">
        <w:rPr>
          <w:rFonts w:ascii="Arial" w:hAnsi="Arial" w:cs="Arial"/>
        </w:rPr>
        <w:t xml:space="preserve"> </w:t>
      </w:r>
    </w:p>
    <w:p w14:paraId="15DCD0F4" w14:textId="1BB482D6" w:rsidR="00D513DD" w:rsidRPr="00FA4C92" w:rsidRDefault="00D513DD" w:rsidP="005F176E">
      <w:pPr>
        <w:ind w:left="720"/>
        <w:rPr>
          <w:rFonts w:ascii="Arial" w:hAnsi="Arial" w:cs="Arial"/>
          <w:sz w:val="20"/>
          <w:szCs w:val="20"/>
        </w:rPr>
      </w:pPr>
    </w:p>
    <w:p w14:paraId="0974D373" w14:textId="5E5BA4FE" w:rsidR="009F36DB" w:rsidRDefault="00F57F30" w:rsidP="005F176E">
      <w:pPr>
        <w:ind w:left="720" w:firstLine="4"/>
        <w:rPr>
          <w:rFonts w:ascii="Arial" w:hAnsi="Arial" w:cs="Arial"/>
        </w:rPr>
      </w:pPr>
      <w:r w:rsidRPr="009E5A8D">
        <w:rPr>
          <w:rFonts w:ascii="Arial" w:hAnsi="Arial" w:cs="Arial"/>
        </w:rPr>
        <w:t>Members of the news media, investors and the general public are invited to access a live webcast of the conference call via the Company’s investor relations page at www.emcins.com/ir.</w:t>
      </w:r>
      <w:r w:rsidR="006A7EF5" w:rsidRPr="009E5A8D">
        <w:rPr>
          <w:rFonts w:ascii="Arial" w:hAnsi="Arial" w:cs="Arial"/>
        </w:rPr>
        <w:t xml:space="preserve"> </w:t>
      </w:r>
      <w:r w:rsidRPr="009E5A8D">
        <w:rPr>
          <w:rFonts w:ascii="Arial" w:hAnsi="Arial" w:cs="Arial"/>
        </w:rPr>
        <w:t xml:space="preserve">The webcast will be archived and available for replay </w:t>
      </w:r>
      <w:r w:rsidR="00CE7F04">
        <w:rPr>
          <w:rFonts w:ascii="Arial" w:hAnsi="Arial" w:cs="Arial"/>
        </w:rPr>
        <w:t>for approximately 90 days following the earnings call</w:t>
      </w:r>
      <w:r w:rsidRPr="009E5A8D">
        <w:rPr>
          <w:rFonts w:ascii="Arial" w:hAnsi="Arial" w:cs="Arial"/>
        </w:rPr>
        <w:t>. A transcript of the teleconference will be available on the Company’s website shortly after the completion of the teleconference.</w:t>
      </w:r>
      <w:r w:rsidR="009F36DB">
        <w:rPr>
          <w:rFonts w:ascii="Arial" w:hAnsi="Arial" w:cs="Arial"/>
        </w:rPr>
        <w:t xml:space="preserve">  </w:t>
      </w:r>
    </w:p>
    <w:p w14:paraId="0121BF95" w14:textId="77777777" w:rsidR="009F36DB" w:rsidRDefault="009F36DB" w:rsidP="005F176E">
      <w:pPr>
        <w:ind w:left="720" w:firstLine="4"/>
        <w:rPr>
          <w:rFonts w:ascii="Arial" w:hAnsi="Arial" w:cs="Arial"/>
        </w:rPr>
      </w:pPr>
    </w:p>
    <w:p w14:paraId="2E232C8E" w14:textId="3A650739" w:rsidR="009F36DB" w:rsidRPr="00333D08" w:rsidRDefault="009F36DB" w:rsidP="005F176E">
      <w:pPr>
        <w:ind w:left="720" w:firstLine="4"/>
        <w:rPr>
          <w:rFonts w:ascii="Arial" w:hAnsi="Arial" w:cs="Arial"/>
          <w:b/>
        </w:rPr>
      </w:pPr>
      <w:r w:rsidRPr="00333D08">
        <w:rPr>
          <w:rFonts w:ascii="Arial" w:hAnsi="Arial" w:cs="Arial"/>
          <w:b/>
        </w:rPr>
        <w:t>Management</w:t>
      </w:r>
      <w:r w:rsidR="00CE7F04">
        <w:rPr>
          <w:rFonts w:ascii="Arial" w:hAnsi="Arial" w:cs="Arial"/>
          <w:b/>
        </w:rPr>
        <w:t xml:space="preserve"> Presentation</w:t>
      </w:r>
    </w:p>
    <w:p w14:paraId="16E0F19E" w14:textId="7FF7DA4A" w:rsidR="0099537C" w:rsidRPr="009E5A8D" w:rsidRDefault="002E52F2" w:rsidP="005F176E">
      <w:pPr>
        <w:ind w:left="720" w:firstLine="4"/>
        <w:rPr>
          <w:rFonts w:ascii="Arial" w:hAnsi="Arial" w:cs="Arial"/>
        </w:rPr>
      </w:pPr>
      <w:r>
        <w:rPr>
          <w:rFonts w:ascii="Arial" w:hAnsi="Arial" w:cs="Arial"/>
        </w:rPr>
        <w:t xml:space="preserve">Additionally, </w:t>
      </w:r>
      <w:r w:rsidR="009F36DB" w:rsidRPr="00AF565D">
        <w:rPr>
          <w:rFonts w:ascii="Arial" w:hAnsi="Arial" w:cs="Arial"/>
        </w:rPr>
        <w:t>Mark</w:t>
      </w:r>
      <w:r w:rsidR="009F36DB" w:rsidRPr="009F36DB">
        <w:rPr>
          <w:rFonts w:ascii="Arial" w:hAnsi="Arial" w:cs="Arial"/>
        </w:rPr>
        <w:t xml:space="preserve"> E. Reese, Senior Vice President and Chief Financial Officer</w:t>
      </w:r>
      <w:r w:rsidR="00CE7F04">
        <w:rPr>
          <w:rFonts w:ascii="Arial" w:hAnsi="Arial" w:cs="Arial"/>
        </w:rPr>
        <w:t>, and Steven T. Walsh, Director of Investor Relations</w:t>
      </w:r>
      <w:r>
        <w:rPr>
          <w:rFonts w:ascii="Arial" w:hAnsi="Arial" w:cs="Arial"/>
        </w:rPr>
        <w:t>,</w:t>
      </w:r>
      <w:r w:rsidR="009F36DB" w:rsidRPr="009F36DB">
        <w:rPr>
          <w:rFonts w:ascii="Arial" w:hAnsi="Arial" w:cs="Arial"/>
        </w:rPr>
        <w:t xml:space="preserve"> will </w:t>
      </w:r>
      <w:r w:rsidR="00CE7F04">
        <w:rPr>
          <w:rFonts w:ascii="Arial" w:hAnsi="Arial" w:cs="Arial"/>
        </w:rPr>
        <w:t xml:space="preserve">present </w:t>
      </w:r>
      <w:r w:rsidR="009F36DB" w:rsidRPr="009F36DB">
        <w:rPr>
          <w:rFonts w:ascii="Arial" w:hAnsi="Arial" w:cs="Arial"/>
        </w:rPr>
        <w:t xml:space="preserve">at the </w:t>
      </w:r>
      <w:r w:rsidR="00AF565D">
        <w:rPr>
          <w:rFonts w:ascii="Arial" w:hAnsi="Arial" w:cs="Arial"/>
        </w:rPr>
        <w:t>2017 East Coast IDEAS Investor Conference</w:t>
      </w:r>
      <w:r w:rsidR="00CE7F04">
        <w:rPr>
          <w:rFonts w:ascii="Arial" w:hAnsi="Arial" w:cs="Arial"/>
        </w:rPr>
        <w:t xml:space="preserve"> on Thursday May 18, 2017 at </w:t>
      </w:r>
      <w:r w:rsidR="00CE7F04" w:rsidRPr="00A61606">
        <w:rPr>
          <w:rFonts w:ascii="Arial" w:hAnsi="Arial" w:cs="Arial"/>
        </w:rPr>
        <w:t xml:space="preserve">approximately </w:t>
      </w:r>
      <w:r w:rsidR="00A61606" w:rsidRPr="00A61606">
        <w:rPr>
          <w:rFonts w:ascii="Arial" w:hAnsi="Arial" w:cs="Arial"/>
        </w:rPr>
        <w:t>8:40 a</w:t>
      </w:r>
      <w:r w:rsidR="00CE7F04" w:rsidRPr="00A61606">
        <w:rPr>
          <w:rFonts w:ascii="Arial" w:hAnsi="Arial" w:cs="Arial"/>
        </w:rPr>
        <w:t>.m. Eastern</w:t>
      </w:r>
      <w:r w:rsidR="00CE7F04">
        <w:rPr>
          <w:rFonts w:ascii="Arial" w:hAnsi="Arial" w:cs="Arial"/>
        </w:rPr>
        <w:t xml:space="preserve"> time. The conference will be held</w:t>
      </w:r>
      <w:r w:rsidR="009F36DB" w:rsidRPr="009F36DB">
        <w:rPr>
          <w:rFonts w:ascii="Arial" w:hAnsi="Arial" w:cs="Arial"/>
        </w:rPr>
        <w:t xml:space="preserve"> at </w:t>
      </w:r>
      <w:r w:rsidR="00E7735E">
        <w:rPr>
          <w:rFonts w:ascii="Arial" w:hAnsi="Arial" w:cs="Arial"/>
        </w:rPr>
        <w:t>the Boston Park Plaza</w:t>
      </w:r>
      <w:r w:rsidR="00CE7F04">
        <w:rPr>
          <w:rFonts w:ascii="Arial" w:hAnsi="Arial" w:cs="Arial"/>
        </w:rPr>
        <w:t xml:space="preserve"> hotel in </w:t>
      </w:r>
      <w:r w:rsidR="00AF565D">
        <w:rPr>
          <w:rFonts w:ascii="Arial" w:hAnsi="Arial" w:cs="Arial"/>
        </w:rPr>
        <w:t>Boston, MA</w:t>
      </w:r>
      <w:r w:rsidR="009F36DB" w:rsidRPr="009F36DB">
        <w:rPr>
          <w:rFonts w:ascii="Arial" w:hAnsi="Arial" w:cs="Arial"/>
        </w:rPr>
        <w:t>.</w:t>
      </w:r>
      <w:r w:rsidR="0083772B">
        <w:rPr>
          <w:rFonts w:ascii="Arial" w:hAnsi="Arial" w:cs="Arial"/>
        </w:rPr>
        <w:t xml:space="preserve"> </w:t>
      </w:r>
      <w:r w:rsidR="0083772B" w:rsidRPr="0083772B">
        <w:rPr>
          <w:rFonts w:ascii="Arial" w:hAnsi="Arial" w:cs="Arial"/>
        </w:rPr>
        <w:t xml:space="preserve">A live audio webcast of the presentation may be accessed </w:t>
      </w:r>
      <w:r w:rsidR="003B4AC5">
        <w:rPr>
          <w:rFonts w:ascii="Arial" w:hAnsi="Arial" w:cs="Arial"/>
        </w:rPr>
        <w:t xml:space="preserve">from the Company’s website at </w:t>
      </w:r>
      <w:r w:rsidR="003B4AC5" w:rsidRPr="00A86215">
        <w:rPr>
          <w:rFonts w:ascii="Arial" w:hAnsi="Arial" w:cs="Arial"/>
        </w:rPr>
        <w:t>www.emcins.com/ir</w:t>
      </w:r>
      <w:r w:rsidR="00A65AA4">
        <w:rPr>
          <w:rFonts w:ascii="Arial" w:hAnsi="Arial" w:cs="Arial"/>
        </w:rPr>
        <w:t xml:space="preserve"> or</w:t>
      </w:r>
      <w:r w:rsidR="003B4AC5">
        <w:rPr>
          <w:rFonts w:ascii="Arial" w:hAnsi="Arial" w:cs="Arial"/>
        </w:rPr>
        <w:t xml:space="preserve"> from </w:t>
      </w:r>
      <w:r w:rsidR="0083772B" w:rsidRPr="0083772B">
        <w:rPr>
          <w:rFonts w:ascii="Arial" w:hAnsi="Arial" w:cs="Arial"/>
        </w:rPr>
        <w:t xml:space="preserve">the conference website </w:t>
      </w:r>
      <w:r w:rsidR="0083772B" w:rsidRPr="007E31FB">
        <w:rPr>
          <w:rFonts w:ascii="Arial" w:hAnsi="Arial" w:cs="Arial"/>
        </w:rPr>
        <w:t xml:space="preserve">at </w:t>
      </w:r>
      <w:r w:rsidR="00A65AA4" w:rsidRPr="00A86215">
        <w:rPr>
          <w:rFonts w:ascii="Arial" w:hAnsi="Arial" w:cs="Arial"/>
        </w:rPr>
        <w:t>www.IDEASConferences.com</w:t>
      </w:r>
      <w:r w:rsidR="0083772B" w:rsidRPr="007E31FB">
        <w:rPr>
          <w:rFonts w:ascii="Arial" w:hAnsi="Arial" w:cs="Arial"/>
        </w:rPr>
        <w:t>.</w:t>
      </w:r>
      <w:r w:rsidR="0083772B" w:rsidRPr="0083772B">
        <w:rPr>
          <w:rFonts w:ascii="Arial" w:hAnsi="Arial" w:cs="Arial"/>
        </w:rPr>
        <w:t xml:space="preserve"> The presentation slides will be available on the Company’s website on the day of the presentation and can be found at </w:t>
      </w:r>
      <w:r w:rsidR="003B4AC5" w:rsidRPr="00A86215">
        <w:rPr>
          <w:rFonts w:ascii="Arial" w:hAnsi="Arial" w:cs="Arial"/>
        </w:rPr>
        <w:t>www.emcins.com/ir/presentations.aspx</w:t>
      </w:r>
      <w:r w:rsidR="0083772B" w:rsidRPr="0083772B">
        <w:rPr>
          <w:rFonts w:ascii="Arial" w:hAnsi="Arial" w:cs="Arial"/>
        </w:rPr>
        <w:t>.</w:t>
      </w:r>
      <w:r w:rsidR="00CE7F04">
        <w:rPr>
          <w:rFonts w:ascii="Arial" w:hAnsi="Arial" w:cs="Arial"/>
        </w:rPr>
        <w:t xml:space="preserve">  </w:t>
      </w:r>
      <w:r w:rsidR="00713074">
        <w:rPr>
          <w:rFonts w:ascii="Arial" w:hAnsi="Arial" w:cs="Arial"/>
        </w:rPr>
        <w:br/>
      </w:r>
    </w:p>
    <w:p w14:paraId="79BA38DB" w14:textId="3FB52022" w:rsidR="00F57F30" w:rsidRPr="009E5A8D" w:rsidRDefault="00F57F30" w:rsidP="005F176E">
      <w:pPr>
        <w:ind w:left="720"/>
        <w:rPr>
          <w:rFonts w:ascii="Arial" w:hAnsi="Arial" w:cs="Arial"/>
          <w:b/>
        </w:rPr>
      </w:pPr>
      <w:r w:rsidRPr="009E5A8D">
        <w:rPr>
          <w:rFonts w:ascii="Arial" w:hAnsi="Arial" w:cs="Arial"/>
          <w:b/>
        </w:rPr>
        <w:t>About EMCI</w:t>
      </w:r>
    </w:p>
    <w:p w14:paraId="32EDEA46" w14:textId="387EFB98" w:rsidR="004407B0" w:rsidRDefault="004407B0" w:rsidP="005F176E">
      <w:pPr>
        <w:pStyle w:val="BodyText"/>
        <w:ind w:left="720" w:right="138" w:firstLine="0"/>
        <w:rPr>
          <w:rFonts w:ascii="Arial" w:hAnsi="Arial" w:cs="Arial"/>
          <w:spacing w:val="-1"/>
        </w:rPr>
      </w:pPr>
      <w:r w:rsidRPr="00320D8A">
        <w:rPr>
          <w:rFonts w:ascii="Arial" w:hAnsi="Arial" w:cs="Arial"/>
          <w:spacing w:val="-2"/>
        </w:rPr>
        <w:t>EM</w:t>
      </w:r>
      <w:r w:rsidRPr="00320D8A">
        <w:rPr>
          <w:rFonts w:ascii="Arial" w:hAnsi="Arial" w:cs="Arial"/>
        </w:rPr>
        <w:t>C</w:t>
      </w:r>
      <w:r w:rsidRPr="00320D8A">
        <w:rPr>
          <w:rFonts w:ascii="Arial" w:hAnsi="Arial" w:cs="Arial"/>
          <w:spacing w:val="3"/>
        </w:rPr>
        <w:t xml:space="preserve"> </w:t>
      </w:r>
      <w:r w:rsidRPr="00320D8A">
        <w:rPr>
          <w:rFonts w:ascii="Arial" w:hAnsi="Arial" w:cs="Arial"/>
          <w:spacing w:val="-2"/>
        </w:rPr>
        <w:t>Insuranc</w:t>
      </w:r>
      <w:r w:rsidRPr="00320D8A">
        <w:rPr>
          <w:rFonts w:ascii="Arial" w:hAnsi="Arial" w:cs="Arial"/>
        </w:rPr>
        <w:t>e</w:t>
      </w:r>
      <w:r w:rsidRPr="00320D8A">
        <w:rPr>
          <w:rFonts w:ascii="Arial" w:hAnsi="Arial" w:cs="Arial"/>
          <w:spacing w:val="3"/>
        </w:rPr>
        <w:t xml:space="preserve"> </w:t>
      </w:r>
      <w:r w:rsidRPr="00320D8A">
        <w:rPr>
          <w:rFonts w:ascii="Arial" w:hAnsi="Arial" w:cs="Arial"/>
          <w:spacing w:val="-2"/>
        </w:rPr>
        <w:t>Grou</w:t>
      </w:r>
      <w:r w:rsidRPr="00320D8A">
        <w:rPr>
          <w:rFonts w:ascii="Arial" w:hAnsi="Arial" w:cs="Arial"/>
        </w:rPr>
        <w:t>p</w:t>
      </w:r>
      <w:r w:rsidRPr="00320D8A">
        <w:rPr>
          <w:rFonts w:ascii="Arial" w:hAnsi="Arial" w:cs="Arial"/>
          <w:spacing w:val="3"/>
        </w:rPr>
        <w:t xml:space="preserve"> </w:t>
      </w:r>
      <w:r w:rsidRPr="00320D8A">
        <w:rPr>
          <w:rFonts w:ascii="Arial" w:hAnsi="Arial" w:cs="Arial"/>
          <w:spacing w:val="-2"/>
        </w:rPr>
        <w:t>Inc</w:t>
      </w:r>
      <w:r w:rsidRPr="00320D8A">
        <w:rPr>
          <w:rFonts w:ascii="Arial" w:hAnsi="Arial" w:cs="Arial"/>
        </w:rPr>
        <w:t>.</w:t>
      </w:r>
      <w:r w:rsidRPr="00320D8A">
        <w:rPr>
          <w:rFonts w:ascii="Arial" w:hAnsi="Arial" w:cs="Arial"/>
          <w:spacing w:val="3"/>
        </w:rPr>
        <w:t xml:space="preserve"> </w:t>
      </w:r>
      <w:r w:rsidRPr="00320D8A">
        <w:rPr>
          <w:rFonts w:ascii="Arial" w:hAnsi="Arial" w:cs="Arial"/>
          <w:spacing w:val="-2"/>
        </w:rPr>
        <w:t>i</w:t>
      </w:r>
      <w:r w:rsidRPr="00320D8A">
        <w:rPr>
          <w:rFonts w:ascii="Arial" w:hAnsi="Arial" w:cs="Arial"/>
        </w:rPr>
        <w:t>s</w:t>
      </w:r>
      <w:r w:rsidRPr="00320D8A">
        <w:rPr>
          <w:rFonts w:ascii="Arial" w:hAnsi="Arial" w:cs="Arial"/>
          <w:spacing w:val="3"/>
        </w:rPr>
        <w:t xml:space="preserve"> </w:t>
      </w:r>
      <w:r w:rsidRPr="00320D8A">
        <w:rPr>
          <w:rFonts w:ascii="Arial" w:hAnsi="Arial" w:cs="Arial"/>
        </w:rPr>
        <w:t>a</w:t>
      </w:r>
      <w:r w:rsidRPr="00320D8A">
        <w:rPr>
          <w:rFonts w:ascii="Arial" w:hAnsi="Arial" w:cs="Arial"/>
          <w:spacing w:val="3"/>
        </w:rPr>
        <w:t xml:space="preserve"> </w:t>
      </w:r>
      <w:r w:rsidRPr="00320D8A">
        <w:rPr>
          <w:rFonts w:ascii="Arial" w:hAnsi="Arial" w:cs="Arial"/>
          <w:spacing w:val="-2"/>
        </w:rPr>
        <w:t>publicl</w:t>
      </w:r>
      <w:r w:rsidRPr="00320D8A">
        <w:rPr>
          <w:rFonts w:ascii="Arial" w:hAnsi="Arial" w:cs="Arial"/>
        </w:rPr>
        <w:t>y</w:t>
      </w:r>
      <w:r w:rsidRPr="00320D8A">
        <w:rPr>
          <w:rFonts w:ascii="Arial" w:hAnsi="Arial" w:cs="Arial"/>
          <w:spacing w:val="3"/>
        </w:rPr>
        <w:t xml:space="preserve"> </w:t>
      </w:r>
      <w:r w:rsidRPr="00320D8A">
        <w:rPr>
          <w:rFonts w:ascii="Arial" w:hAnsi="Arial" w:cs="Arial"/>
          <w:spacing w:val="-2"/>
        </w:rPr>
        <w:t>hel</w:t>
      </w:r>
      <w:r w:rsidRPr="00320D8A">
        <w:rPr>
          <w:rFonts w:ascii="Arial" w:hAnsi="Arial" w:cs="Arial"/>
        </w:rPr>
        <w:t>d</w:t>
      </w:r>
      <w:r w:rsidRPr="00320D8A">
        <w:rPr>
          <w:rFonts w:ascii="Arial" w:hAnsi="Arial" w:cs="Arial"/>
          <w:spacing w:val="3"/>
        </w:rPr>
        <w:t xml:space="preserve"> </w:t>
      </w:r>
      <w:r w:rsidRPr="00320D8A">
        <w:rPr>
          <w:rFonts w:ascii="Arial" w:hAnsi="Arial" w:cs="Arial"/>
          <w:spacing w:val="-2"/>
        </w:rPr>
        <w:t>insuranc</w:t>
      </w:r>
      <w:r w:rsidRPr="00320D8A">
        <w:rPr>
          <w:rFonts w:ascii="Arial" w:hAnsi="Arial" w:cs="Arial"/>
        </w:rPr>
        <w:t>e</w:t>
      </w:r>
      <w:r w:rsidRPr="00320D8A">
        <w:rPr>
          <w:rFonts w:ascii="Arial" w:hAnsi="Arial" w:cs="Arial"/>
          <w:spacing w:val="3"/>
        </w:rPr>
        <w:t xml:space="preserve"> </w:t>
      </w:r>
      <w:r w:rsidRPr="00320D8A">
        <w:rPr>
          <w:rFonts w:ascii="Arial" w:hAnsi="Arial" w:cs="Arial"/>
          <w:spacing w:val="-2"/>
        </w:rPr>
        <w:t>holdin</w:t>
      </w:r>
      <w:r w:rsidRPr="00320D8A">
        <w:rPr>
          <w:rFonts w:ascii="Arial" w:hAnsi="Arial" w:cs="Arial"/>
        </w:rPr>
        <w:t>g</w:t>
      </w:r>
      <w:r w:rsidRPr="00320D8A">
        <w:rPr>
          <w:rFonts w:ascii="Arial" w:hAnsi="Arial" w:cs="Arial"/>
          <w:spacing w:val="3"/>
        </w:rPr>
        <w:t xml:space="preserve"> </w:t>
      </w:r>
      <w:r w:rsidRPr="00320D8A">
        <w:rPr>
          <w:rFonts w:ascii="Arial" w:hAnsi="Arial" w:cs="Arial"/>
          <w:spacing w:val="-2"/>
        </w:rPr>
        <w:t>compan</w:t>
      </w:r>
      <w:r w:rsidRPr="00320D8A">
        <w:rPr>
          <w:rFonts w:ascii="Arial" w:hAnsi="Arial" w:cs="Arial"/>
        </w:rPr>
        <w:t>y</w:t>
      </w:r>
      <w:r w:rsidRPr="00320D8A">
        <w:rPr>
          <w:rFonts w:ascii="Arial" w:hAnsi="Arial" w:cs="Arial"/>
          <w:spacing w:val="3"/>
        </w:rPr>
        <w:t xml:space="preserve"> </w:t>
      </w:r>
      <w:r w:rsidRPr="00320D8A">
        <w:rPr>
          <w:rFonts w:ascii="Arial" w:hAnsi="Arial" w:cs="Arial"/>
          <w:spacing w:val="-2"/>
        </w:rPr>
        <w:t>wit</w:t>
      </w:r>
      <w:r w:rsidRPr="00320D8A">
        <w:rPr>
          <w:rFonts w:ascii="Arial" w:hAnsi="Arial" w:cs="Arial"/>
        </w:rPr>
        <w:t>h</w:t>
      </w:r>
      <w:r w:rsidRPr="00320D8A">
        <w:rPr>
          <w:rFonts w:ascii="Arial" w:hAnsi="Arial" w:cs="Arial"/>
          <w:spacing w:val="3"/>
        </w:rPr>
        <w:t xml:space="preserve"> </w:t>
      </w:r>
      <w:r w:rsidRPr="00320D8A">
        <w:rPr>
          <w:rFonts w:ascii="Arial" w:hAnsi="Arial" w:cs="Arial"/>
          <w:spacing w:val="-2"/>
        </w:rPr>
        <w:t xml:space="preserve">operations </w:t>
      </w:r>
      <w:r w:rsidRPr="00320D8A">
        <w:rPr>
          <w:rFonts w:ascii="Arial" w:hAnsi="Arial" w:cs="Arial"/>
          <w:spacing w:val="-1"/>
        </w:rPr>
        <w:t>i</w:t>
      </w:r>
      <w:r w:rsidRPr="00320D8A">
        <w:rPr>
          <w:rFonts w:ascii="Arial" w:hAnsi="Arial" w:cs="Arial"/>
        </w:rPr>
        <w:t>n</w:t>
      </w:r>
      <w:r w:rsidRPr="00320D8A">
        <w:rPr>
          <w:rFonts w:ascii="Arial" w:hAnsi="Arial" w:cs="Arial"/>
          <w:spacing w:val="2"/>
        </w:rPr>
        <w:t xml:space="preserve"> </w:t>
      </w:r>
      <w:r w:rsidRPr="00320D8A">
        <w:rPr>
          <w:rFonts w:ascii="Arial" w:hAnsi="Arial" w:cs="Arial"/>
          <w:spacing w:val="-1"/>
        </w:rPr>
        <w:t>propert</w:t>
      </w:r>
      <w:r w:rsidRPr="00320D8A">
        <w:rPr>
          <w:rFonts w:ascii="Arial" w:hAnsi="Arial" w:cs="Arial"/>
        </w:rPr>
        <w:t>y</w:t>
      </w:r>
      <w:r w:rsidRPr="00320D8A">
        <w:rPr>
          <w:rFonts w:ascii="Arial" w:hAnsi="Arial" w:cs="Arial"/>
          <w:spacing w:val="2"/>
        </w:rPr>
        <w:t xml:space="preserve"> </w:t>
      </w:r>
      <w:r w:rsidRPr="00320D8A">
        <w:rPr>
          <w:rFonts w:ascii="Arial" w:hAnsi="Arial" w:cs="Arial"/>
          <w:spacing w:val="-1"/>
        </w:rPr>
        <w:t>an</w:t>
      </w:r>
      <w:r w:rsidRPr="00320D8A">
        <w:rPr>
          <w:rFonts w:ascii="Arial" w:hAnsi="Arial" w:cs="Arial"/>
        </w:rPr>
        <w:t>d</w:t>
      </w:r>
      <w:r w:rsidRPr="00320D8A">
        <w:rPr>
          <w:rFonts w:ascii="Arial" w:hAnsi="Arial" w:cs="Arial"/>
          <w:spacing w:val="2"/>
        </w:rPr>
        <w:t xml:space="preserve"> </w:t>
      </w:r>
      <w:r w:rsidRPr="00320D8A">
        <w:rPr>
          <w:rFonts w:ascii="Arial" w:hAnsi="Arial" w:cs="Arial"/>
          <w:spacing w:val="-1"/>
        </w:rPr>
        <w:t>casualt</w:t>
      </w:r>
      <w:r w:rsidRPr="00320D8A">
        <w:rPr>
          <w:rFonts w:ascii="Arial" w:hAnsi="Arial" w:cs="Arial"/>
        </w:rPr>
        <w:t>y</w:t>
      </w:r>
      <w:r w:rsidRPr="00320D8A">
        <w:rPr>
          <w:rFonts w:ascii="Arial" w:hAnsi="Arial" w:cs="Arial"/>
          <w:spacing w:val="2"/>
        </w:rPr>
        <w:t xml:space="preserve"> </w:t>
      </w:r>
      <w:r w:rsidRPr="00320D8A">
        <w:rPr>
          <w:rFonts w:ascii="Arial" w:hAnsi="Arial" w:cs="Arial"/>
          <w:spacing w:val="-1"/>
        </w:rPr>
        <w:t>insuranc</w:t>
      </w:r>
      <w:r w:rsidRPr="00320D8A">
        <w:rPr>
          <w:rFonts w:ascii="Arial" w:hAnsi="Arial" w:cs="Arial"/>
        </w:rPr>
        <w:t>e</w:t>
      </w:r>
      <w:r w:rsidRPr="00320D8A">
        <w:rPr>
          <w:rFonts w:ascii="Arial" w:hAnsi="Arial" w:cs="Arial"/>
          <w:spacing w:val="2"/>
        </w:rPr>
        <w:t xml:space="preserve"> </w:t>
      </w:r>
      <w:r w:rsidRPr="00320D8A">
        <w:rPr>
          <w:rFonts w:ascii="Arial" w:hAnsi="Arial" w:cs="Arial"/>
          <w:spacing w:val="-1"/>
        </w:rPr>
        <w:t>an</w:t>
      </w:r>
      <w:r w:rsidRPr="00320D8A">
        <w:rPr>
          <w:rFonts w:ascii="Arial" w:hAnsi="Arial" w:cs="Arial"/>
        </w:rPr>
        <w:t>d</w:t>
      </w:r>
      <w:r w:rsidRPr="00320D8A">
        <w:rPr>
          <w:rFonts w:ascii="Arial" w:hAnsi="Arial" w:cs="Arial"/>
          <w:spacing w:val="2"/>
        </w:rPr>
        <w:t xml:space="preserve"> </w:t>
      </w:r>
      <w:r w:rsidRPr="00320D8A">
        <w:rPr>
          <w:rFonts w:ascii="Arial" w:hAnsi="Arial" w:cs="Arial"/>
          <w:spacing w:val="-1"/>
        </w:rPr>
        <w:t>reinsurance</w:t>
      </w:r>
      <w:r w:rsidRPr="00320D8A">
        <w:rPr>
          <w:rFonts w:ascii="Arial" w:hAnsi="Arial" w:cs="Arial"/>
        </w:rPr>
        <w:t>,</w:t>
      </w:r>
      <w:r w:rsidRPr="00320D8A">
        <w:rPr>
          <w:rFonts w:ascii="Arial" w:hAnsi="Arial" w:cs="Arial"/>
          <w:spacing w:val="2"/>
        </w:rPr>
        <w:t xml:space="preserve"> </w:t>
      </w:r>
      <w:r w:rsidRPr="00320D8A">
        <w:rPr>
          <w:rFonts w:ascii="Arial" w:hAnsi="Arial" w:cs="Arial"/>
          <w:spacing w:val="-1"/>
        </w:rPr>
        <w:t>whic</w:t>
      </w:r>
      <w:r w:rsidRPr="00320D8A">
        <w:rPr>
          <w:rFonts w:ascii="Arial" w:hAnsi="Arial" w:cs="Arial"/>
        </w:rPr>
        <w:t>h</w:t>
      </w:r>
      <w:r w:rsidRPr="00320D8A">
        <w:rPr>
          <w:rFonts w:ascii="Arial" w:hAnsi="Arial" w:cs="Arial"/>
          <w:spacing w:val="2"/>
        </w:rPr>
        <w:t xml:space="preserve"> </w:t>
      </w:r>
      <w:r w:rsidRPr="00320D8A">
        <w:rPr>
          <w:rFonts w:ascii="Arial" w:hAnsi="Arial" w:cs="Arial"/>
          <w:spacing w:val="-1"/>
        </w:rPr>
        <w:t>wa</w:t>
      </w:r>
      <w:r w:rsidRPr="00320D8A">
        <w:rPr>
          <w:rFonts w:ascii="Arial" w:hAnsi="Arial" w:cs="Arial"/>
        </w:rPr>
        <w:t>s</w:t>
      </w:r>
      <w:r w:rsidRPr="00320D8A">
        <w:rPr>
          <w:rFonts w:ascii="Arial" w:hAnsi="Arial" w:cs="Arial"/>
          <w:spacing w:val="2"/>
        </w:rPr>
        <w:t xml:space="preserve"> </w:t>
      </w:r>
      <w:r w:rsidRPr="00320D8A">
        <w:rPr>
          <w:rFonts w:ascii="Arial" w:hAnsi="Arial" w:cs="Arial"/>
          <w:spacing w:val="-1"/>
        </w:rPr>
        <w:t>forme</w:t>
      </w:r>
      <w:r w:rsidRPr="00320D8A">
        <w:rPr>
          <w:rFonts w:ascii="Arial" w:hAnsi="Arial" w:cs="Arial"/>
        </w:rPr>
        <w:t>d</w:t>
      </w:r>
      <w:r w:rsidRPr="00320D8A">
        <w:rPr>
          <w:rFonts w:ascii="Arial" w:hAnsi="Arial" w:cs="Arial"/>
          <w:spacing w:val="2"/>
        </w:rPr>
        <w:t xml:space="preserve"> </w:t>
      </w:r>
      <w:r w:rsidRPr="00320D8A">
        <w:rPr>
          <w:rFonts w:ascii="Arial" w:hAnsi="Arial" w:cs="Arial"/>
          <w:spacing w:val="-1"/>
        </w:rPr>
        <w:t>i</w:t>
      </w:r>
      <w:r w:rsidRPr="00320D8A">
        <w:rPr>
          <w:rFonts w:ascii="Arial" w:hAnsi="Arial" w:cs="Arial"/>
        </w:rPr>
        <w:t>n</w:t>
      </w:r>
      <w:r w:rsidRPr="00320D8A">
        <w:rPr>
          <w:rFonts w:ascii="Arial" w:hAnsi="Arial" w:cs="Arial"/>
          <w:spacing w:val="2"/>
        </w:rPr>
        <w:t xml:space="preserve"> </w:t>
      </w:r>
      <w:r w:rsidRPr="00320D8A">
        <w:rPr>
          <w:rFonts w:ascii="Arial" w:hAnsi="Arial" w:cs="Arial"/>
          <w:spacing w:val="-1"/>
        </w:rPr>
        <w:t>197</w:t>
      </w:r>
      <w:r w:rsidRPr="00320D8A">
        <w:rPr>
          <w:rFonts w:ascii="Arial" w:hAnsi="Arial" w:cs="Arial"/>
        </w:rPr>
        <w:t>4</w:t>
      </w:r>
      <w:r w:rsidRPr="00320D8A">
        <w:rPr>
          <w:rFonts w:ascii="Arial" w:hAnsi="Arial" w:cs="Arial"/>
          <w:spacing w:val="2"/>
        </w:rPr>
        <w:t xml:space="preserve"> </w:t>
      </w:r>
      <w:r w:rsidRPr="00320D8A">
        <w:rPr>
          <w:rFonts w:ascii="Arial" w:hAnsi="Arial" w:cs="Arial"/>
          <w:spacing w:val="-1"/>
        </w:rPr>
        <w:t>an</w:t>
      </w:r>
      <w:r w:rsidRPr="00320D8A">
        <w:rPr>
          <w:rFonts w:ascii="Arial" w:hAnsi="Arial" w:cs="Arial"/>
        </w:rPr>
        <w:t>d</w:t>
      </w:r>
      <w:r w:rsidRPr="00320D8A">
        <w:rPr>
          <w:rFonts w:ascii="Arial" w:hAnsi="Arial" w:cs="Arial"/>
          <w:spacing w:val="2"/>
        </w:rPr>
        <w:t xml:space="preserve"> </w:t>
      </w:r>
      <w:r w:rsidRPr="00320D8A">
        <w:rPr>
          <w:rFonts w:ascii="Arial" w:hAnsi="Arial" w:cs="Arial"/>
          <w:spacing w:val="-1"/>
        </w:rPr>
        <w:t>becam</w:t>
      </w:r>
      <w:r w:rsidRPr="00320D8A">
        <w:rPr>
          <w:rFonts w:ascii="Arial" w:hAnsi="Arial" w:cs="Arial"/>
        </w:rPr>
        <w:t>e</w:t>
      </w:r>
      <w:r w:rsidRPr="00320D8A">
        <w:rPr>
          <w:rFonts w:ascii="Arial" w:hAnsi="Arial" w:cs="Arial"/>
          <w:spacing w:val="2"/>
        </w:rPr>
        <w:t xml:space="preserve"> </w:t>
      </w:r>
      <w:r w:rsidRPr="00320D8A">
        <w:rPr>
          <w:rFonts w:ascii="Arial" w:hAnsi="Arial" w:cs="Arial"/>
          <w:spacing w:val="-1"/>
        </w:rPr>
        <w:t>publicl</w:t>
      </w:r>
      <w:r w:rsidRPr="00320D8A">
        <w:rPr>
          <w:rFonts w:ascii="Arial" w:hAnsi="Arial" w:cs="Arial"/>
        </w:rPr>
        <w:t>y</w:t>
      </w:r>
      <w:r w:rsidRPr="00320D8A">
        <w:rPr>
          <w:rFonts w:ascii="Arial" w:hAnsi="Arial" w:cs="Arial"/>
          <w:spacing w:val="2"/>
        </w:rPr>
        <w:t xml:space="preserve"> </w:t>
      </w:r>
      <w:r w:rsidRPr="00320D8A">
        <w:rPr>
          <w:rFonts w:ascii="Arial" w:hAnsi="Arial" w:cs="Arial"/>
          <w:spacing w:val="-1"/>
        </w:rPr>
        <w:t>hel</w:t>
      </w:r>
      <w:r w:rsidRPr="00320D8A">
        <w:rPr>
          <w:rFonts w:ascii="Arial" w:hAnsi="Arial" w:cs="Arial"/>
        </w:rPr>
        <w:t>d</w:t>
      </w:r>
      <w:r w:rsidRPr="00320D8A">
        <w:rPr>
          <w:rFonts w:ascii="Arial" w:hAnsi="Arial" w:cs="Arial"/>
          <w:spacing w:val="2"/>
        </w:rPr>
        <w:t xml:space="preserve"> </w:t>
      </w:r>
      <w:r w:rsidRPr="00320D8A">
        <w:rPr>
          <w:rFonts w:ascii="Arial" w:hAnsi="Arial" w:cs="Arial"/>
          <w:spacing w:val="-1"/>
        </w:rPr>
        <w:t>i</w:t>
      </w:r>
      <w:r w:rsidRPr="00320D8A">
        <w:rPr>
          <w:rFonts w:ascii="Arial" w:hAnsi="Arial" w:cs="Arial"/>
        </w:rPr>
        <w:t>n</w:t>
      </w:r>
      <w:r w:rsidRPr="00320D8A">
        <w:rPr>
          <w:rFonts w:ascii="Arial" w:hAnsi="Arial" w:cs="Arial"/>
          <w:spacing w:val="2"/>
        </w:rPr>
        <w:t xml:space="preserve"> </w:t>
      </w:r>
      <w:r w:rsidRPr="00320D8A">
        <w:rPr>
          <w:rFonts w:ascii="Arial" w:hAnsi="Arial" w:cs="Arial"/>
          <w:spacing w:val="-1"/>
        </w:rPr>
        <w:t>1982. Th</w:t>
      </w:r>
      <w:r w:rsidRPr="00320D8A">
        <w:rPr>
          <w:rFonts w:ascii="Arial" w:hAnsi="Arial" w:cs="Arial"/>
        </w:rPr>
        <w:t>e</w:t>
      </w:r>
      <w:r w:rsidRPr="00320D8A">
        <w:rPr>
          <w:rFonts w:ascii="Arial" w:hAnsi="Arial" w:cs="Arial"/>
          <w:spacing w:val="1"/>
        </w:rPr>
        <w:t xml:space="preserve"> </w:t>
      </w:r>
      <w:r w:rsidRPr="00320D8A">
        <w:rPr>
          <w:rFonts w:ascii="Arial" w:hAnsi="Arial" w:cs="Arial"/>
          <w:spacing w:val="-1"/>
        </w:rPr>
        <w:t>Company’</w:t>
      </w:r>
      <w:r w:rsidRPr="00320D8A">
        <w:rPr>
          <w:rFonts w:ascii="Arial" w:hAnsi="Arial" w:cs="Arial"/>
        </w:rPr>
        <w:t>s</w:t>
      </w:r>
      <w:r w:rsidRPr="00320D8A">
        <w:rPr>
          <w:rFonts w:ascii="Arial" w:hAnsi="Arial" w:cs="Arial"/>
          <w:spacing w:val="1"/>
        </w:rPr>
        <w:t xml:space="preserve"> </w:t>
      </w:r>
      <w:r w:rsidRPr="00320D8A">
        <w:rPr>
          <w:rFonts w:ascii="Arial" w:hAnsi="Arial" w:cs="Arial"/>
          <w:spacing w:val="-1"/>
        </w:rPr>
        <w:t>commo</w:t>
      </w:r>
      <w:r w:rsidRPr="00320D8A">
        <w:rPr>
          <w:rFonts w:ascii="Arial" w:hAnsi="Arial" w:cs="Arial"/>
        </w:rPr>
        <w:t>n</w:t>
      </w:r>
      <w:r w:rsidRPr="00320D8A">
        <w:rPr>
          <w:rFonts w:ascii="Arial" w:hAnsi="Arial" w:cs="Arial"/>
          <w:spacing w:val="1"/>
        </w:rPr>
        <w:t xml:space="preserve"> </w:t>
      </w:r>
      <w:r w:rsidRPr="00320D8A">
        <w:rPr>
          <w:rFonts w:ascii="Arial" w:hAnsi="Arial" w:cs="Arial"/>
          <w:spacing w:val="-1"/>
        </w:rPr>
        <w:t>stoc</w:t>
      </w:r>
      <w:r w:rsidRPr="00320D8A">
        <w:rPr>
          <w:rFonts w:ascii="Arial" w:hAnsi="Arial" w:cs="Arial"/>
        </w:rPr>
        <w:t>k</w:t>
      </w:r>
      <w:r w:rsidRPr="00320D8A">
        <w:rPr>
          <w:rFonts w:ascii="Arial" w:hAnsi="Arial" w:cs="Arial"/>
          <w:spacing w:val="1"/>
        </w:rPr>
        <w:t xml:space="preserve"> </w:t>
      </w:r>
      <w:r w:rsidRPr="00320D8A">
        <w:rPr>
          <w:rFonts w:ascii="Arial" w:hAnsi="Arial" w:cs="Arial"/>
          <w:spacing w:val="-1"/>
        </w:rPr>
        <w:t>trade</w:t>
      </w:r>
      <w:r w:rsidRPr="00320D8A">
        <w:rPr>
          <w:rFonts w:ascii="Arial" w:hAnsi="Arial" w:cs="Arial"/>
        </w:rPr>
        <w:t>s</w:t>
      </w:r>
      <w:r w:rsidRPr="00320D8A">
        <w:rPr>
          <w:rFonts w:ascii="Arial" w:hAnsi="Arial" w:cs="Arial"/>
          <w:spacing w:val="1"/>
        </w:rPr>
        <w:t xml:space="preserve"> </w:t>
      </w:r>
      <w:r w:rsidRPr="00320D8A">
        <w:rPr>
          <w:rFonts w:ascii="Arial" w:hAnsi="Arial" w:cs="Arial"/>
          <w:spacing w:val="-1"/>
        </w:rPr>
        <w:t>o</w:t>
      </w:r>
      <w:r w:rsidRPr="00320D8A">
        <w:rPr>
          <w:rFonts w:ascii="Arial" w:hAnsi="Arial" w:cs="Arial"/>
        </w:rPr>
        <w:t>n</w:t>
      </w:r>
      <w:r w:rsidRPr="00320D8A">
        <w:rPr>
          <w:rFonts w:ascii="Arial" w:hAnsi="Arial" w:cs="Arial"/>
          <w:spacing w:val="1"/>
        </w:rPr>
        <w:t xml:space="preserve"> </w:t>
      </w:r>
      <w:r w:rsidRPr="00320D8A">
        <w:rPr>
          <w:rFonts w:ascii="Arial" w:hAnsi="Arial" w:cs="Arial"/>
          <w:spacing w:val="-1"/>
        </w:rPr>
        <w:t>th</w:t>
      </w:r>
      <w:r w:rsidRPr="00320D8A">
        <w:rPr>
          <w:rFonts w:ascii="Arial" w:hAnsi="Arial" w:cs="Arial"/>
        </w:rPr>
        <w:t>e</w:t>
      </w:r>
      <w:r w:rsidRPr="00320D8A">
        <w:rPr>
          <w:rFonts w:ascii="Arial" w:hAnsi="Arial" w:cs="Arial"/>
          <w:spacing w:val="1"/>
        </w:rPr>
        <w:t xml:space="preserve"> </w:t>
      </w:r>
      <w:r w:rsidRPr="00320D8A">
        <w:rPr>
          <w:rFonts w:ascii="Arial" w:hAnsi="Arial" w:cs="Arial"/>
          <w:spacing w:val="-1"/>
        </w:rPr>
        <w:t>Globa</w:t>
      </w:r>
      <w:r w:rsidRPr="00320D8A">
        <w:rPr>
          <w:rFonts w:ascii="Arial" w:hAnsi="Arial" w:cs="Arial"/>
        </w:rPr>
        <w:t>l</w:t>
      </w:r>
      <w:r w:rsidRPr="00320D8A">
        <w:rPr>
          <w:rFonts w:ascii="Arial" w:hAnsi="Arial" w:cs="Arial"/>
          <w:spacing w:val="1"/>
        </w:rPr>
        <w:t xml:space="preserve"> </w:t>
      </w:r>
      <w:r w:rsidRPr="00320D8A">
        <w:rPr>
          <w:rFonts w:ascii="Arial" w:hAnsi="Arial" w:cs="Arial"/>
          <w:spacing w:val="-1"/>
        </w:rPr>
        <w:t>Selec</w:t>
      </w:r>
      <w:r w:rsidRPr="00320D8A">
        <w:rPr>
          <w:rFonts w:ascii="Arial" w:hAnsi="Arial" w:cs="Arial"/>
        </w:rPr>
        <w:t>t</w:t>
      </w:r>
      <w:r w:rsidRPr="00320D8A">
        <w:rPr>
          <w:rFonts w:ascii="Arial" w:hAnsi="Arial" w:cs="Arial"/>
          <w:spacing w:val="1"/>
        </w:rPr>
        <w:t xml:space="preserve"> </w:t>
      </w:r>
      <w:r w:rsidRPr="00320D8A">
        <w:rPr>
          <w:rFonts w:ascii="Arial" w:hAnsi="Arial" w:cs="Arial"/>
          <w:spacing w:val="-1"/>
        </w:rPr>
        <w:t>Mar</w:t>
      </w:r>
      <w:r w:rsidRPr="00320D8A">
        <w:rPr>
          <w:rFonts w:ascii="Arial" w:hAnsi="Arial" w:cs="Arial"/>
          <w:spacing w:val="-6"/>
        </w:rPr>
        <w:t>k</w:t>
      </w:r>
      <w:r w:rsidRPr="00320D8A">
        <w:rPr>
          <w:rFonts w:ascii="Arial" w:hAnsi="Arial" w:cs="Arial"/>
          <w:spacing w:val="-2"/>
        </w:rPr>
        <w:t>e</w:t>
      </w:r>
      <w:r w:rsidRPr="00320D8A">
        <w:rPr>
          <w:rFonts w:ascii="Arial" w:hAnsi="Arial" w:cs="Arial"/>
        </w:rPr>
        <w:t>t</w:t>
      </w:r>
      <w:r w:rsidRPr="00320D8A">
        <w:rPr>
          <w:rFonts w:ascii="Arial" w:hAnsi="Arial" w:cs="Arial"/>
          <w:spacing w:val="1"/>
        </w:rPr>
        <w:t xml:space="preserve"> </w:t>
      </w:r>
      <w:r w:rsidRPr="00320D8A">
        <w:rPr>
          <w:rFonts w:ascii="Arial" w:hAnsi="Arial" w:cs="Arial"/>
          <w:spacing w:val="-2"/>
        </w:rPr>
        <w:t>tie</w:t>
      </w:r>
      <w:r w:rsidRPr="00320D8A">
        <w:rPr>
          <w:rFonts w:ascii="Arial" w:hAnsi="Arial" w:cs="Arial"/>
        </w:rPr>
        <w:t>r</w:t>
      </w:r>
      <w:r w:rsidRPr="00320D8A">
        <w:rPr>
          <w:rFonts w:ascii="Arial" w:hAnsi="Arial" w:cs="Arial"/>
          <w:spacing w:val="1"/>
        </w:rPr>
        <w:t xml:space="preserve"> </w:t>
      </w:r>
      <w:r w:rsidRPr="00320D8A">
        <w:rPr>
          <w:rFonts w:ascii="Arial" w:hAnsi="Arial" w:cs="Arial"/>
          <w:spacing w:val="-2"/>
        </w:rPr>
        <w:t>o</w:t>
      </w:r>
      <w:r w:rsidRPr="00320D8A">
        <w:rPr>
          <w:rFonts w:ascii="Arial" w:hAnsi="Arial" w:cs="Arial"/>
        </w:rPr>
        <w:t>f</w:t>
      </w:r>
      <w:r w:rsidRPr="00320D8A">
        <w:rPr>
          <w:rFonts w:ascii="Arial" w:hAnsi="Arial" w:cs="Arial"/>
          <w:spacing w:val="1"/>
        </w:rPr>
        <w:t xml:space="preserve"> </w:t>
      </w:r>
      <w:r w:rsidRPr="00320D8A">
        <w:rPr>
          <w:rFonts w:ascii="Arial" w:hAnsi="Arial" w:cs="Arial"/>
          <w:spacing w:val="-2"/>
        </w:rPr>
        <w:t>th</w:t>
      </w:r>
      <w:r w:rsidRPr="00320D8A">
        <w:rPr>
          <w:rFonts w:ascii="Arial" w:hAnsi="Arial" w:cs="Arial"/>
        </w:rPr>
        <w:t>e</w:t>
      </w:r>
      <w:r w:rsidRPr="00320D8A">
        <w:rPr>
          <w:rFonts w:ascii="Arial" w:hAnsi="Arial" w:cs="Arial"/>
          <w:spacing w:val="1"/>
        </w:rPr>
        <w:t xml:space="preserve"> </w:t>
      </w:r>
      <w:r w:rsidRPr="00320D8A">
        <w:rPr>
          <w:rFonts w:ascii="Arial" w:hAnsi="Arial" w:cs="Arial"/>
          <w:spacing w:val="-2"/>
        </w:rPr>
        <w:t>NASDA</w:t>
      </w:r>
      <w:r w:rsidRPr="00320D8A">
        <w:rPr>
          <w:rFonts w:ascii="Arial" w:hAnsi="Arial" w:cs="Arial"/>
        </w:rPr>
        <w:t>Q</w:t>
      </w:r>
      <w:r w:rsidRPr="00320D8A">
        <w:rPr>
          <w:rFonts w:ascii="Arial" w:hAnsi="Arial" w:cs="Arial"/>
          <w:spacing w:val="1"/>
        </w:rPr>
        <w:t xml:space="preserve"> </w:t>
      </w:r>
      <w:r w:rsidRPr="00320D8A">
        <w:rPr>
          <w:rFonts w:ascii="Arial" w:hAnsi="Arial" w:cs="Arial"/>
          <w:spacing w:val="-2"/>
        </w:rPr>
        <w:t>Stoc</w:t>
      </w:r>
      <w:r w:rsidRPr="00320D8A">
        <w:rPr>
          <w:rFonts w:ascii="Arial" w:hAnsi="Arial" w:cs="Arial"/>
        </w:rPr>
        <w:t>k</w:t>
      </w:r>
      <w:r w:rsidRPr="00320D8A">
        <w:rPr>
          <w:rFonts w:ascii="Arial" w:hAnsi="Arial" w:cs="Arial"/>
          <w:spacing w:val="1"/>
        </w:rPr>
        <w:t xml:space="preserve"> </w:t>
      </w:r>
      <w:r w:rsidRPr="00320D8A">
        <w:rPr>
          <w:rFonts w:ascii="Arial" w:hAnsi="Arial" w:cs="Arial"/>
          <w:spacing w:val="-2"/>
        </w:rPr>
        <w:t xml:space="preserve">Market </w:t>
      </w:r>
      <w:r w:rsidRPr="00320D8A">
        <w:rPr>
          <w:rFonts w:ascii="Arial" w:hAnsi="Arial" w:cs="Arial"/>
          <w:spacing w:val="-1"/>
        </w:rPr>
        <w:t>unde</w:t>
      </w:r>
      <w:r w:rsidRPr="00320D8A">
        <w:rPr>
          <w:rFonts w:ascii="Arial" w:hAnsi="Arial" w:cs="Arial"/>
        </w:rPr>
        <w:t xml:space="preserve">r </w:t>
      </w:r>
      <w:r w:rsidRPr="00320D8A">
        <w:rPr>
          <w:rFonts w:ascii="Arial" w:hAnsi="Arial" w:cs="Arial"/>
          <w:spacing w:val="-1"/>
        </w:rPr>
        <w:t>th</w:t>
      </w:r>
      <w:r w:rsidRPr="00320D8A">
        <w:rPr>
          <w:rFonts w:ascii="Arial" w:hAnsi="Arial" w:cs="Arial"/>
        </w:rPr>
        <w:t xml:space="preserve">e </w:t>
      </w:r>
      <w:r w:rsidRPr="00320D8A">
        <w:rPr>
          <w:rFonts w:ascii="Arial" w:hAnsi="Arial" w:cs="Arial"/>
          <w:spacing w:val="-1"/>
        </w:rPr>
        <w:t>symbo</w:t>
      </w:r>
      <w:r w:rsidRPr="00320D8A">
        <w:rPr>
          <w:rFonts w:ascii="Arial" w:hAnsi="Arial" w:cs="Arial"/>
        </w:rPr>
        <w:t xml:space="preserve">l </w:t>
      </w:r>
      <w:r w:rsidRPr="00320D8A">
        <w:rPr>
          <w:rFonts w:ascii="Arial" w:hAnsi="Arial" w:cs="Arial"/>
          <w:spacing w:val="-1"/>
        </w:rPr>
        <w:t>EMCI</w:t>
      </w:r>
      <w:r w:rsidRPr="00320D8A">
        <w:rPr>
          <w:rFonts w:ascii="Arial" w:hAnsi="Arial" w:cs="Arial"/>
        </w:rPr>
        <w:t xml:space="preserve">. </w:t>
      </w:r>
      <w:r>
        <w:rPr>
          <w:rFonts w:ascii="Arial" w:hAnsi="Arial" w:cs="Arial"/>
        </w:rPr>
        <w:t xml:space="preserve">Additional information regarding the Company may be found at </w:t>
      </w:r>
      <w:r w:rsidRPr="00A86215">
        <w:rPr>
          <w:rFonts w:ascii="Arial" w:hAnsi="Arial" w:cs="Arial"/>
        </w:rPr>
        <w:t>www.emcins.com/ir</w:t>
      </w:r>
      <w:r>
        <w:rPr>
          <w:rFonts w:ascii="Arial" w:hAnsi="Arial" w:cs="Arial"/>
        </w:rPr>
        <w:t xml:space="preserve">. </w:t>
      </w:r>
      <w:r w:rsidRPr="00320D8A">
        <w:rPr>
          <w:rFonts w:ascii="Arial" w:hAnsi="Arial" w:cs="Arial"/>
          <w:spacing w:val="-1"/>
        </w:rPr>
        <w:t>EMCI’</w:t>
      </w:r>
      <w:r w:rsidRPr="00320D8A">
        <w:rPr>
          <w:rFonts w:ascii="Arial" w:hAnsi="Arial" w:cs="Arial"/>
        </w:rPr>
        <w:t xml:space="preserve">s </w:t>
      </w:r>
      <w:r w:rsidRPr="00320D8A">
        <w:rPr>
          <w:rFonts w:ascii="Arial" w:hAnsi="Arial" w:cs="Arial"/>
          <w:spacing w:val="-1"/>
        </w:rPr>
        <w:t>paren</w:t>
      </w:r>
      <w:r w:rsidRPr="00320D8A">
        <w:rPr>
          <w:rFonts w:ascii="Arial" w:hAnsi="Arial" w:cs="Arial"/>
        </w:rPr>
        <w:t>t</w:t>
      </w:r>
      <w:r w:rsidRPr="00320D8A">
        <w:rPr>
          <w:rFonts w:ascii="Arial" w:hAnsi="Arial" w:cs="Arial"/>
          <w:spacing w:val="1"/>
        </w:rPr>
        <w:t xml:space="preserve"> </w:t>
      </w:r>
      <w:r w:rsidRPr="00320D8A">
        <w:rPr>
          <w:rFonts w:ascii="Arial" w:hAnsi="Arial" w:cs="Arial"/>
          <w:spacing w:val="-1"/>
        </w:rPr>
        <w:t>compan</w:t>
      </w:r>
      <w:r w:rsidRPr="00320D8A">
        <w:rPr>
          <w:rFonts w:ascii="Arial" w:hAnsi="Arial" w:cs="Arial"/>
        </w:rPr>
        <w:t>y</w:t>
      </w:r>
      <w:r w:rsidRPr="00320D8A">
        <w:rPr>
          <w:rFonts w:ascii="Arial" w:hAnsi="Arial" w:cs="Arial"/>
          <w:spacing w:val="1"/>
        </w:rPr>
        <w:t xml:space="preserve"> </w:t>
      </w:r>
      <w:r w:rsidRPr="00320D8A">
        <w:rPr>
          <w:rFonts w:ascii="Arial" w:hAnsi="Arial" w:cs="Arial"/>
          <w:spacing w:val="-1"/>
        </w:rPr>
        <w:t>i</w:t>
      </w:r>
      <w:r w:rsidRPr="00320D8A">
        <w:rPr>
          <w:rFonts w:ascii="Arial" w:hAnsi="Arial" w:cs="Arial"/>
        </w:rPr>
        <w:t xml:space="preserve">s </w:t>
      </w:r>
      <w:r w:rsidRPr="00320D8A">
        <w:rPr>
          <w:rFonts w:ascii="Arial" w:hAnsi="Arial" w:cs="Arial"/>
          <w:spacing w:val="-1"/>
        </w:rPr>
        <w:t>Employer</w:t>
      </w:r>
      <w:r w:rsidRPr="00320D8A">
        <w:rPr>
          <w:rFonts w:ascii="Arial" w:hAnsi="Arial" w:cs="Arial"/>
        </w:rPr>
        <w:t>s</w:t>
      </w:r>
      <w:r w:rsidRPr="00320D8A">
        <w:rPr>
          <w:rFonts w:ascii="Arial" w:hAnsi="Arial" w:cs="Arial"/>
          <w:spacing w:val="1"/>
        </w:rPr>
        <w:t xml:space="preserve"> </w:t>
      </w:r>
      <w:r w:rsidRPr="00320D8A">
        <w:rPr>
          <w:rFonts w:ascii="Arial" w:hAnsi="Arial" w:cs="Arial"/>
          <w:spacing w:val="-1"/>
        </w:rPr>
        <w:t>Mutua</w:t>
      </w:r>
      <w:r w:rsidRPr="00320D8A">
        <w:rPr>
          <w:rFonts w:ascii="Arial" w:hAnsi="Arial" w:cs="Arial"/>
        </w:rPr>
        <w:t xml:space="preserve">l </w:t>
      </w:r>
      <w:r w:rsidRPr="00320D8A">
        <w:rPr>
          <w:rFonts w:ascii="Arial" w:hAnsi="Arial" w:cs="Arial"/>
          <w:spacing w:val="-1"/>
        </w:rPr>
        <w:t>Casualt</w:t>
      </w:r>
      <w:r w:rsidRPr="00320D8A">
        <w:rPr>
          <w:rFonts w:ascii="Arial" w:hAnsi="Arial" w:cs="Arial"/>
        </w:rPr>
        <w:t>y</w:t>
      </w:r>
      <w:r w:rsidRPr="00320D8A">
        <w:rPr>
          <w:rFonts w:ascii="Arial" w:hAnsi="Arial" w:cs="Arial"/>
          <w:spacing w:val="1"/>
        </w:rPr>
        <w:t xml:space="preserve"> </w:t>
      </w:r>
      <w:r w:rsidRPr="00320D8A">
        <w:rPr>
          <w:rFonts w:ascii="Arial" w:hAnsi="Arial" w:cs="Arial"/>
          <w:spacing w:val="-1"/>
        </w:rPr>
        <w:t>Compan</w:t>
      </w:r>
      <w:r w:rsidRPr="00320D8A">
        <w:rPr>
          <w:rFonts w:ascii="Arial" w:hAnsi="Arial" w:cs="Arial"/>
        </w:rPr>
        <w:t xml:space="preserve">y </w:t>
      </w:r>
      <w:r w:rsidRPr="00320D8A">
        <w:rPr>
          <w:rFonts w:ascii="Arial" w:hAnsi="Arial" w:cs="Arial"/>
          <w:spacing w:val="-1"/>
        </w:rPr>
        <w:t>(EMCC)</w:t>
      </w:r>
      <w:r w:rsidRPr="00320D8A">
        <w:rPr>
          <w:rFonts w:ascii="Arial" w:hAnsi="Arial" w:cs="Arial"/>
        </w:rPr>
        <w:t xml:space="preserve">. </w:t>
      </w:r>
      <w:r w:rsidRPr="00320D8A">
        <w:rPr>
          <w:rFonts w:ascii="Arial" w:hAnsi="Arial" w:cs="Arial"/>
          <w:spacing w:val="-1"/>
        </w:rPr>
        <w:t>EMC</w:t>
      </w:r>
      <w:r w:rsidRPr="00320D8A">
        <w:rPr>
          <w:rFonts w:ascii="Arial" w:hAnsi="Arial" w:cs="Arial"/>
        </w:rPr>
        <w:t xml:space="preserve">I </w:t>
      </w:r>
      <w:r w:rsidRPr="00320D8A">
        <w:rPr>
          <w:rFonts w:ascii="Arial" w:hAnsi="Arial" w:cs="Arial"/>
          <w:spacing w:val="-1"/>
        </w:rPr>
        <w:t>and EMCC</w:t>
      </w:r>
      <w:r w:rsidRPr="00320D8A">
        <w:rPr>
          <w:rFonts w:ascii="Arial" w:hAnsi="Arial" w:cs="Arial"/>
        </w:rPr>
        <w:t>,</w:t>
      </w:r>
      <w:r w:rsidRPr="00320D8A">
        <w:rPr>
          <w:rFonts w:ascii="Arial" w:hAnsi="Arial" w:cs="Arial"/>
          <w:spacing w:val="2"/>
        </w:rPr>
        <w:t xml:space="preserve"> </w:t>
      </w:r>
      <w:r w:rsidRPr="00320D8A">
        <w:rPr>
          <w:rFonts w:ascii="Arial" w:hAnsi="Arial" w:cs="Arial"/>
          <w:spacing w:val="-1"/>
        </w:rPr>
        <w:t>togethe</w:t>
      </w:r>
      <w:r w:rsidRPr="00320D8A">
        <w:rPr>
          <w:rFonts w:ascii="Arial" w:hAnsi="Arial" w:cs="Arial"/>
        </w:rPr>
        <w:t>r</w:t>
      </w:r>
      <w:r w:rsidRPr="00320D8A">
        <w:rPr>
          <w:rFonts w:ascii="Arial" w:hAnsi="Arial" w:cs="Arial"/>
          <w:spacing w:val="2"/>
        </w:rPr>
        <w:t xml:space="preserve"> </w:t>
      </w:r>
      <w:r w:rsidRPr="00320D8A">
        <w:rPr>
          <w:rFonts w:ascii="Arial" w:hAnsi="Arial" w:cs="Arial"/>
          <w:spacing w:val="-1"/>
        </w:rPr>
        <w:t>wit</w:t>
      </w:r>
      <w:r w:rsidRPr="00320D8A">
        <w:rPr>
          <w:rFonts w:ascii="Arial" w:hAnsi="Arial" w:cs="Arial"/>
        </w:rPr>
        <w:t>h</w:t>
      </w:r>
      <w:r w:rsidRPr="00320D8A">
        <w:rPr>
          <w:rFonts w:ascii="Arial" w:hAnsi="Arial" w:cs="Arial"/>
          <w:spacing w:val="2"/>
        </w:rPr>
        <w:t xml:space="preserve"> </w:t>
      </w:r>
      <w:r w:rsidRPr="00320D8A">
        <w:rPr>
          <w:rFonts w:ascii="Arial" w:hAnsi="Arial" w:cs="Arial"/>
          <w:spacing w:val="-1"/>
        </w:rPr>
        <w:t>thei</w:t>
      </w:r>
      <w:r w:rsidRPr="00320D8A">
        <w:rPr>
          <w:rFonts w:ascii="Arial" w:hAnsi="Arial" w:cs="Arial"/>
        </w:rPr>
        <w:t>r</w:t>
      </w:r>
      <w:r w:rsidRPr="00320D8A">
        <w:rPr>
          <w:rFonts w:ascii="Arial" w:hAnsi="Arial" w:cs="Arial"/>
          <w:spacing w:val="2"/>
        </w:rPr>
        <w:t xml:space="preserve"> </w:t>
      </w:r>
      <w:r w:rsidRPr="00320D8A">
        <w:rPr>
          <w:rFonts w:ascii="Arial" w:hAnsi="Arial" w:cs="Arial"/>
          <w:spacing w:val="-1"/>
        </w:rPr>
        <w:t>subsidiar</w:t>
      </w:r>
      <w:r w:rsidRPr="00320D8A">
        <w:rPr>
          <w:rFonts w:ascii="Arial" w:hAnsi="Arial" w:cs="Arial"/>
        </w:rPr>
        <w:t>y</w:t>
      </w:r>
      <w:r w:rsidRPr="00320D8A">
        <w:rPr>
          <w:rFonts w:ascii="Arial" w:hAnsi="Arial" w:cs="Arial"/>
          <w:spacing w:val="2"/>
        </w:rPr>
        <w:t xml:space="preserve"> </w:t>
      </w:r>
      <w:r w:rsidRPr="00320D8A">
        <w:rPr>
          <w:rFonts w:ascii="Arial" w:hAnsi="Arial" w:cs="Arial"/>
          <w:spacing w:val="-1"/>
        </w:rPr>
        <w:t>an</w:t>
      </w:r>
      <w:r w:rsidRPr="00320D8A">
        <w:rPr>
          <w:rFonts w:ascii="Arial" w:hAnsi="Arial" w:cs="Arial"/>
        </w:rPr>
        <w:t>d</w:t>
      </w:r>
      <w:r w:rsidRPr="00320D8A">
        <w:rPr>
          <w:rFonts w:ascii="Arial" w:hAnsi="Arial" w:cs="Arial"/>
          <w:spacing w:val="2"/>
        </w:rPr>
        <w:t xml:space="preserve"> </w:t>
      </w:r>
      <w:r w:rsidRPr="00320D8A">
        <w:rPr>
          <w:rFonts w:ascii="Arial" w:hAnsi="Arial" w:cs="Arial"/>
          <w:spacing w:val="-1"/>
        </w:rPr>
        <w:t>affiliate</w:t>
      </w:r>
      <w:r w:rsidRPr="00320D8A">
        <w:rPr>
          <w:rFonts w:ascii="Arial" w:hAnsi="Arial" w:cs="Arial"/>
        </w:rPr>
        <w:t>d</w:t>
      </w:r>
      <w:r w:rsidRPr="00320D8A">
        <w:rPr>
          <w:rFonts w:ascii="Arial" w:hAnsi="Arial" w:cs="Arial"/>
          <w:spacing w:val="2"/>
        </w:rPr>
        <w:t xml:space="preserve"> </w:t>
      </w:r>
      <w:r w:rsidRPr="00320D8A">
        <w:rPr>
          <w:rFonts w:ascii="Arial" w:hAnsi="Arial" w:cs="Arial"/>
          <w:spacing w:val="-1"/>
        </w:rPr>
        <w:t>companies</w:t>
      </w:r>
      <w:r w:rsidRPr="00320D8A">
        <w:rPr>
          <w:rFonts w:ascii="Arial" w:hAnsi="Arial" w:cs="Arial"/>
        </w:rPr>
        <w:t>,</w:t>
      </w:r>
      <w:r w:rsidRPr="00320D8A">
        <w:rPr>
          <w:rFonts w:ascii="Arial" w:hAnsi="Arial" w:cs="Arial"/>
          <w:spacing w:val="2"/>
        </w:rPr>
        <w:t xml:space="preserve"> </w:t>
      </w:r>
      <w:r w:rsidRPr="00320D8A">
        <w:rPr>
          <w:rFonts w:ascii="Arial" w:hAnsi="Arial" w:cs="Arial"/>
          <w:spacing w:val="-1"/>
        </w:rPr>
        <w:t>conduc</w:t>
      </w:r>
      <w:r w:rsidRPr="00320D8A">
        <w:rPr>
          <w:rFonts w:ascii="Arial" w:hAnsi="Arial" w:cs="Arial"/>
        </w:rPr>
        <w:t>t</w:t>
      </w:r>
      <w:r w:rsidRPr="00320D8A">
        <w:rPr>
          <w:rFonts w:ascii="Arial" w:hAnsi="Arial" w:cs="Arial"/>
          <w:spacing w:val="2"/>
        </w:rPr>
        <w:t xml:space="preserve"> </w:t>
      </w:r>
      <w:r w:rsidRPr="00320D8A">
        <w:rPr>
          <w:rFonts w:ascii="Arial" w:hAnsi="Arial" w:cs="Arial"/>
          <w:spacing w:val="-1"/>
        </w:rPr>
        <w:t>operation</w:t>
      </w:r>
      <w:r w:rsidRPr="00320D8A">
        <w:rPr>
          <w:rFonts w:ascii="Arial" w:hAnsi="Arial" w:cs="Arial"/>
        </w:rPr>
        <w:t>s</w:t>
      </w:r>
      <w:r w:rsidRPr="00320D8A">
        <w:rPr>
          <w:rFonts w:ascii="Arial" w:hAnsi="Arial" w:cs="Arial"/>
          <w:spacing w:val="2"/>
        </w:rPr>
        <w:t xml:space="preserve"> </w:t>
      </w:r>
      <w:r w:rsidRPr="00320D8A">
        <w:rPr>
          <w:rFonts w:ascii="Arial" w:hAnsi="Arial" w:cs="Arial"/>
          <w:spacing w:val="-1"/>
        </w:rPr>
        <w:t>unde</w:t>
      </w:r>
      <w:r w:rsidRPr="00320D8A">
        <w:rPr>
          <w:rFonts w:ascii="Arial" w:hAnsi="Arial" w:cs="Arial"/>
        </w:rPr>
        <w:t>r</w:t>
      </w:r>
      <w:r w:rsidRPr="00320D8A">
        <w:rPr>
          <w:rFonts w:ascii="Arial" w:hAnsi="Arial" w:cs="Arial"/>
          <w:spacing w:val="2"/>
        </w:rPr>
        <w:t xml:space="preserve"> </w:t>
      </w:r>
      <w:r w:rsidRPr="00320D8A">
        <w:rPr>
          <w:rFonts w:ascii="Arial" w:hAnsi="Arial" w:cs="Arial"/>
          <w:spacing w:val="-1"/>
        </w:rPr>
        <w:t>th</w:t>
      </w:r>
      <w:r w:rsidRPr="00320D8A">
        <w:rPr>
          <w:rFonts w:ascii="Arial" w:hAnsi="Arial" w:cs="Arial"/>
        </w:rPr>
        <w:t>e</w:t>
      </w:r>
      <w:r w:rsidRPr="00320D8A">
        <w:rPr>
          <w:rFonts w:ascii="Arial" w:hAnsi="Arial" w:cs="Arial"/>
          <w:spacing w:val="2"/>
        </w:rPr>
        <w:t xml:space="preserve"> </w:t>
      </w:r>
      <w:r w:rsidRPr="00320D8A">
        <w:rPr>
          <w:rFonts w:ascii="Arial" w:hAnsi="Arial" w:cs="Arial"/>
          <w:spacing w:val="-1"/>
        </w:rPr>
        <w:t>trad</w:t>
      </w:r>
      <w:r w:rsidRPr="00320D8A">
        <w:rPr>
          <w:rFonts w:ascii="Arial" w:hAnsi="Arial" w:cs="Arial"/>
        </w:rPr>
        <w:t>e</w:t>
      </w:r>
      <w:r w:rsidRPr="00320D8A">
        <w:rPr>
          <w:rFonts w:ascii="Arial" w:hAnsi="Arial" w:cs="Arial"/>
          <w:spacing w:val="2"/>
        </w:rPr>
        <w:t xml:space="preserve"> </w:t>
      </w:r>
      <w:r w:rsidRPr="00320D8A">
        <w:rPr>
          <w:rFonts w:ascii="Arial" w:hAnsi="Arial" w:cs="Arial"/>
          <w:spacing w:val="-1"/>
        </w:rPr>
        <w:t>nam</w:t>
      </w:r>
      <w:r w:rsidRPr="00320D8A">
        <w:rPr>
          <w:rFonts w:ascii="Arial" w:hAnsi="Arial" w:cs="Arial"/>
        </w:rPr>
        <w:t>e</w:t>
      </w:r>
      <w:r w:rsidRPr="00320D8A">
        <w:rPr>
          <w:rFonts w:ascii="Arial" w:hAnsi="Arial" w:cs="Arial"/>
          <w:spacing w:val="2"/>
        </w:rPr>
        <w:t xml:space="preserve"> </w:t>
      </w:r>
      <w:r w:rsidRPr="00320D8A">
        <w:rPr>
          <w:rFonts w:ascii="Arial" w:hAnsi="Arial" w:cs="Arial"/>
          <w:spacing w:val="-1"/>
        </w:rPr>
        <w:t>EMC Insuranc</w:t>
      </w:r>
      <w:r w:rsidRPr="00320D8A">
        <w:rPr>
          <w:rFonts w:ascii="Arial" w:hAnsi="Arial" w:cs="Arial"/>
        </w:rPr>
        <w:t>e</w:t>
      </w:r>
      <w:r w:rsidRPr="00320D8A">
        <w:rPr>
          <w:rFonts w:ascii="Arial" w:hAnsi="Arial" w:cs="Arial"/>
          <w:spacing w:val="1"/>
        </w:rPr>
        <w:t xml:space="preserve"> </w:t>
      </w:r>
      <w:r w:rsidRPr="00320D8A">
        <w:rPr>
          <w:rFonts w:ascii="Arial" w:hAnsi="Arial" w:cs="Arial"/>
          <w:spacing w:val="-1"/>
        </w:rPr>
        <w:t>Companies.</w:t>
      </w:r>
      <w:r>
        <w:rPr>
          <w:rFonts w:ascii="Arial" w:hAnsi="Arial" w:cs="Arial"/>
          <w:spacing w:val="-1"/>
        </w:rPr>
        <w:t xml:space="preserve"> </w:t>
      </w:r>
    </w:p>
    <w:p w14:paraId="1F8262A8" w14:textId="77777777" w:rsidR="00AF1731" w:rsidRPr="009E5A8D" w:rsidRDefault="00AF1731" w:rsidP="005F176E">
      <w:pPr>
        <w:ind w:left="720"/>
        <w:rPr>
          <w:rFonts w:ascii="Arial" w:hAnsi="Arial" w:cs="Arial"/>
          <w:b/>
          <w:sz w:val="18"/>
          <w:szCs w:val="18"/>
        </w:rPr>
      </w:pPr>
    </w:p>
    <w:p w14:paraId="680F8AFD" w14:textId="229E9A96" w:rsidR="00F57F30" w:rsidRPr="009E5A8D" w:rsidRDefault="00753010" w:rsidP="005F176E">
      <w:pPr>
        <w:keepNext/>
        <w:ind w:left="720"/>
        <w:rPr>
          <w:rFonts w:ascii="Arial" w:hAnsi="Arial" w:cs="Arial"/>
        </w:rPr>
      </w:pPr>
      <w:r w:rsidRPr="009E5A8D">
        <w:rPr>
          <w:rFonts w:ascii="Arial" w:hAnsi="Arial" w:cs="Arial"/>
          <w:b/>
        </w:rPr>
        <w:t>Cautionary Note Regarding</w:t>
      </w:r>
      <w:r w:rsidR="00E1196A" w:rsidRPr="009E5A8D">
        <w:rPr>
          <w:rFonts w:ascii="Arial" w:hAnsi="Arial" w:cs="Arial"/>
          <w:b/>
        </w:rPr>
        <w:t xml:space="preserve"> </w:t>
      </w:r>
      <w:r w:rsidR="00F57F30" w:rsidRPr="009E5A8D">
        <w:rPr>
          <w:rFonts w:ascii="Arial" w:hAnsi="Arial" w:cs="Arial"/>
          <w:b/>
        </w:rPr>
        <w:t>Forward-Looking Statements</w:t>
      </w:r>
      <w:r w:rsidR="00F57F30" w:rsidRPr="009E5A8D">
        <w:rPr>
          <w:rFonts w:ascii="Arial" w:hAnsi="Arial" w:cs="Arial"/>
        </w:rPr>
        <w:t xml:space="preserve"> </w:t>
      </w:r>
    </w:p>
    <w:p w14:paraId="12F5BDF8" w14:textId="7B0B156D" w:rsidR="000846B7" w:rsidRPr="009E5A8D" w:rsidRDefault="00F57F30" w:rsidP="005F176E">
      <w:pPr>
        <w:keepNext/>
        <w:ind w:left="720"/>
        <w:rPr>
          <w:rFonts w:ascii="Arial" w:hAnsi="Arial" w:cs="Arial"/>
        </w:rPr>
      </w:pPr>
      <w:r w:rsidRPr="009E5A8D">
        <w:rPr>
          <w:rFonts w:ascii="Arial" w:hAnsi="Arial" w:cs="Arial"/>
        </w:rPr>
        <w:t>The Private Securities Litigation Reform Act of 1995 provides issuers the opportunity to make cautionary statements regarding forward-looking statements.</w:t>
      </w:r>
      <w:r w:rsidR="006A7EF5" w:rsidRPr="009E5A8D">
        <w:rPr>
          <w:rFonts w:ascii="Arial" w:hAnsi="Arial" w:cs="Arial"/>
        </w:rPr>
        <w:t xml:space="preserve"> </w:t>
      </w:r>
      <w:r w:rsidRPr="009E5A8D">
        <w:rPr>
          <w:rFonts w:ascii="Arial" w:hAnsi="Arial" w:cs="Arial"/>
        </w:rPr>
        <w:t>Accordingly, any forward-looking statement contained in this report is based on management’s current beliefs, assumptions and expectations of the Company’s future performance, taking into account all information currently available to management.</w:t>
      </w:r>
      <w:r w:rsidR="006A7EF5" w:rsidRPr="009E5A8D">
        <w:rPr>
          <w:rFonts w:ascii="Arial" w:hAnsi="Arial" w:cs="Arial"/>
        </w:rPr>
        <w:t xml:space="preserve"> </w:t>
      </w:r>
      <w:r w:rsidRPr="009E5A8D">
        <w:rPr>
          <w:rFonts w:ascii="Arial" w:hAnsi="Arial" w:cs="Arial"/>
        </w:rPr>
        <w:t>These beliefs, assumptions and expectations can change as the result of many possible events or factors, not all of which are known to management.</w:t>
      </w:r>
      <w:r w:rsidR="006A7EF5" w:rsidRPr="009E5A8D">
        <w:rPr>
          <w:rFonts w:ascii="Arial" w:hAnsi="Arial" w:cs="Arial"/>
        </w:rPr>
        <w:t xml:space="preserve"> </w:t>
      </w:r>
      <w:r w:rsidRPr="009E5A8D">
        <w:rPr>
          <w:rFonts w:ascii="Arial" w:hAnsi="Arial" w:cs="Arial"/>
        </w:rPr>
        <w:t>If a change occurs, the Company’s business, financial condition, liquidity, results of operations, plans and objectives may vary materially from those expressed in the forward-looking statements.</w:t>
      </w:r>
      <w:r w:rsidR="006A7EF5" w:rsidRPr="009E5A8D">
        <w:rPr>
          <w:rFonts w:ascii="Arial" w:hAnsi="Arial" w:cs="Arial"/>
        </w:rPr>
        <w:t xml:space="preserve"> </w:t>
      </w:r>
    </w:p>
    <w:p w14:paraId="7341E8EF" w14:textId="77777777" w:rsidR="004E6F88" w:rsidRPr="009E5A8D" w:rsidRDefault="004E6F88" w:rsidP="005F176E">
      <w:pPr>
        <w:keepNext/>
        <w:ind w:left="720"/>
        <w:rPr>
          <w:rFonts w:ascii="Arial" w:hAnsi="Arial" w:cs="Arial"/>
        </w:rPr>
      </w:pPr>
    </w:p>
    <w:p w14:paraId="6DED7DB9" w14:textId="77777777" w:rsidR="00756484" w:rsidRDefault="00756484">
      <w:pPr>
        <w:rPr>
          <w:rFonts w:ascii="Arial" w:hAnsi="Arial" w:cs="Arial"/>
        </w:rPr>
      </w:pPr>
      <w:r>
        <w:rPr>
          <w:rFonts w:ascii="Arial" w:hAnsi="Arial" w:cs="Arial"/>
        </w:rPr>
        <w:br w:type="page"/>
      </w:r>
    </w:p>
    <w:p w14:paraId="42BAB603" w14:textId="78C30D98" w:rsidR="00F57F30" w:rsidRPr="009E5A8D" w:rsidRDefault="00F57F30" w:rsidP="005F176E">
      <w:pPr>
        <w:ind w:left="720"/>
        <w:rPr>
          <w:rFonts w:ascii="Arial" w:hAnsi="Arial" w:cs="Arial"/>
        </w:rPr>
      </w:pPr>
      <w:r w:rsidRPr="009E5A8D">
        <w:rPr>
          <w:rFonts w:ascii="Arial" w:hAnsi="Arial" w:cs="Arial"/>
        </w:rPr>
        <w:lastRenderedPageBreak/>
        <w:t xml:space="preserve">The risks and uncertainties that may affect the actual results of the Company include, but are not limited to, the following: </w:t>
      </w:r>
    </w:p>
    <w:p w14:paraId="0FE556C7" w14:textId="77777777" w:rsidR="00F57F30" w:rsidRPr="009E5A8D" w:rsidRDefault="00F57F30" w:rsidP="005F176E">
      <w:pPr>
        <w:ind w:left="1350" w:firstLine="270"/>
        <w:rPr>
          <w:rFonts w:ascii="Arial" w:hAnsi="Arial" w:cs="Arial"/>
        </w:rPr>
      </w:pPr>
    </w:p>
    <w:p w14:paraId="6C3EC0EB" w14:textId="77777777" w:rsidR="00F57F30" w:rsidRPr="009E5A8D" w:rsidRDefault="00F57F30" w:rsidP="005F176E">
      <w:pPr>
        <w:pStyle w:val="ListParagraph"/>
        <w:widowControl/>
        <w:numPr>
          <w:ilvl w:val="0"/>
          <w:numId w:val="1"/>
        </w:numPr>
        <w:ind w:left="1350"/>
        <w:rPr>
          <w:rFonts w:ascii="Arial" w:hAnsi="Arial" w:cs="Arial"/>
        </w:rPr>
      </w:pPr>
      <w:r w:rsidRPr="009E5A8D">
        <w:rPr>
          <w:rFonts w:ascii="Arial" w:hAnsi="Arial" w:cs="Arial"/>
        </w:rPr>
        <w:t>catastrophic events and the occurrence of significant severe weather conditions;</w:t>
      </w:r>
    </w:p>
    <w:p w14:paraId="3E7BF327" w14:textId="77777777" w:rsidR="00F57F30" w:rsidRPr="009E5A8D" w:rsidRDefault="00F57F30" w:rsidP="005F176E">
      <w:pPr>
        <w:pStyle w:val="ListParagraph"/>
        <w:widowControl/>
        <w:numPr>
          <w:ilvl w:val="0"/>
          <w:numId w:val="1"/>
        </w:numPr>
        <w:ind w:left="1350"/>
        <w:rPr>
          <w:rFonts w:ascii="Arial" w:hAnsi="Arial" w:cs="Arial"/>
        </w:rPr>
      </w:pPr>
      <w:r w:rsidRPr="009E5A8D">
        <w:rPr>
          <w:rFonts w:ascii="Arial" w:hAnsi="Arial" w:cs="Arial"/>
        </w:rPr>
        <w:t>the adequacy of loss and settlement expense reserves;</w:t>
      </w:r>
    </w:p>
    <w:p w14:paraId="342BFBB5" w14:textId="77777777" w:rsidR="00F57F30" w:rsidRPr="009E5A8D" w:rsidRDefault="00F57F30" w:rsidP="005F176E">
      <w:pPr>
        <w:pStyle w:val="ListParagraph"/>
        <w:widowControl/>
        <w:numPr>
          <w:ilvl w:val="0"/>
          <w:numId w:val="1"/>
        </w:numPr>
        <w:ind w:left="1350"/>
        <w:rPr>
          <w:rFonts w:ascii="Arial" w:hAnsi="Arial" w:cs="Arial"/>
        </w:rPr>
      </w:pPr>
      <w:r w:rsidRPr="009E5A8D">
        <w:rPr>
          <w:rFonts w:ascii="Arial" w:hAnsi="Arial" w:cs="Arial"/>
        </w:rPr>
        <w:t>state and federal legislation and regulations;</w:t>
      </w:r>
    </w:p>
    <w:p w14:paraId="16640EBF" w14:textId="77777777" w:rsidR="00F57F30" w:rsidRPr="009E5A8D" w:rsidRDefault="00F57F30" w:rsidP="005F176E">
      <w:pPr>
        <w:pStyle w:val="ListParagraph"/>
        <w:widowControl/>
        <w:numPr>
          <w:ilvl w:val="0"/>
          <w:numId w:val="1"/>
        </w:numPr>
        <w:ind w:left="1350"/>
        <w:rPr>
          <w:rFonts w:ascii="Arial" w:hAnsi="Arial" w:cs="Arial"/>
        </w:rPr>
      </w:pPr>
      <w:r w:rsidRPr="009E5A8D">
        <w:rPr>
          <w:rFonts w:ascii="Arial" w:hAnsi="Arial" w:cs="Arial"/>
        </w:rPr>
        <w:t>changes in the property and casualty insurance industry, interest rates or the</w:t>
      </w:r>
      <w:r w:rsidR="00465BBF" w:rsidRPr="009E5A8D">
        <w:rPr>
          <w:rFonts w:ascii="Arial" w:hAnsi="Arial" w:cs="Arial"/>
        </w:rPr>
        <w:t xml:space="preserve"> </w:t>
      </w:r>
      <w:r w:rsidRPr="009E5A8D">
        <w:rPr>
          <w:rFonts w:ascii="Arial" w:hAnsi="Arial" w:cs="Arial"/>
        </w:rPr>
        <w:t>performance of financial markets and the general economy;</w:t>
      </w:r>
    </w:p>
    <w:p w14:paraId="17966D83" w14:textId="77777777" w:rsidR="00F57F30" w:rsidRPr="009E5A8D" w:rsidRDefault="00F57F30" w:rsidP="005F176E">
      <w:pPr>
        <w:pStyle w:val="ListParagraph"/>
        <w:widowControl/>
        <w:numPr>
          <w:ilvl w:val="0"/>
          <w:numId w:val="1"/>
        </w:numPr>
        <w:ind w:left="1350"/>
        <w:rPr>
          <w:rFonts w:ascii="Arial" w:hAnsi="Arial" w:cs="Arial"/>
        </w:rPr>
      </w:pPr>
      <w:r w:rsidRPr="009E5A8D">
        <w:rPr>
          <w:rFonts w:ascii="Arial" w:hAnsi="Arial" w:cs="Arial"/>
        </w:rPr>
        <w:t>rating agency actions;</w:t>
      </w:r>
    </w:p>
    <w:p w14:paraId="00F3EFF1" w14:textId="77777777" w:rsidR="00F57F30" w:rsidRPr="009E5A8D" w:rsidRDefault="00F57F30" w:rsidP="005F176E">
      <w:pPr>
        <w:pStyle w:val="ListParagraph"/>
        <w:widowControl/>
        <w:numPr>
          <w:ilvl w:val="0"/>
          <w:numId w:val="1"/>
        </w:numPr>
        <w:ind w:left="1350"/>
        <w:rPr>
          <w:rFonts w:ascii="Arial" w:hAnsi="Arial" w:cs="Arial"/>
        </w:rPr>
      </w:pPr>
      <w:r w:rsidRPr="009E5A8D">
        <w:rPr>
          <w:rFonts w:ascii="Arial" w:hAnsi="Arial" w:cs="Arial"/>
        </w:rPr>
        <w:t>“other-than-temporary” investment impairment losses; and</w:t>
      </w:r>
    </w:p>
    <w:p w14:paraId="2948B09E" w14:textId="77777777" w:rsidR="00F57F30" w:rsidRPr="009E5A8D" w:rsidRDefault="00F57F30" w:rsidP="005F176E">
      <w:pPr>
        <w:pStyle w:val="ListParagraph"/>
        <w:widowControl/>
        <w:numPr>
          <w:ilvl w:val="0"/>
          <w:numId w:val="1"/>
        </w:numPr>
        <w:ind w:left="1350"/>
        <w:rPr>
          <w:rFonts w:ascii="Arial" w:hAnsi="Arial" w:cs="Arial"/>
        </w:rPr>
      </w:pPr>
      <w:r w:rsidRPr="009E5A8D">
        <w:rPr>
          <w:rFonts w:ascii="Arial" w:hAnsi="Arial" w:cs="Arial"/>
        </w:rPr>
        <w:t>other risks and uncertainties inherent to the Company’s business, including those</w:t>
      </w:r>
      <w:r w:rsidR="00465BBF" w:rsidRPr="009E5A8D">
        <w:rPr>
          <w:rFonts w:ascii="Arial" w:hAnsi="Arial" w:cs="Arial"/>
        </w:rPr>
        <w:t xml:space="preserve"> </w:t>
      </w:r>
      <w:r w:rsidRPr="009E5A8D">
        <w:rPr>
          <w:rFonts w:ascii="Arial" w:hAnsi="Arial" w:cs="Arial"/>
        </w:rPr>
        <w:t>discussed under the heading “Risk Factors” in the Company’s Annual Report on Form 10-K.</w:t>
      </w:r>
    </w:p>
    <w:p w14:paraId="64AC5C7D" w14:textId="77777777" w:rsidR="00F57F30" w:rsidRPr="009E5A8D" w:rsidRDefault="00F57F30" w:rsidP="00F57F30">
      <w:pPr>
        <w:ind w:left="1080"/>
        <w:rPr>
          <w:rFonts w:ascii="Arial" w:hAnsi="Arial" w:cs="Arial"/>
        </w:rPr>
      </w:pPr>
    </w:p>
    <w:p w14:paraId="1650C5FE" w14:textId="00B69F26" w:rsidR="00F0598E" w:rsidRDefault="00F57F30" w:rsidP="005F176E">
      <w:pPr>
        <w:ind w:left="720"/>
        <w:rPr>
          <w:rFonts w:ascii="Arial" w:hAnsi="Arial" w:cs="Arial"/>
        </w:rPr>
      </w:pPr>
      <w:r w:rsidRPr="009E5A8D">
        <w:rPr>
          <w:rFonts w:ascii="Arial" w:hAnsi="Arial" w:cs="Arial"/>
        </w:rPr>
        <w:t>Management intends to identify forward-looking statements when using the words “believe,” “expect,” “anticipate,” “estimate,” “project,” or similar expressions.</w:t>
      </w:r>
      <w:r w:rsidR="006A7EF5" w:rsidRPr="009E5A8D">
        <w:rPr>
          <w:rFonts w:ascii="Arial" w:hAnsi="Arial" w:cs="Arial"/>
        </w:rPr>
        <w:t xml:space="preserve"> </w:t>
      </w:r>
      <w:r w:rsidRPr="009E5A8D">
        <w:rPr>
          <w:rFonts w:ascii="Arial" w:hAnsi="Arial" w:cs="Arial"/>
        </w:rPr>
        <w:t>Undue reliance should not be placed on these forward-looking statements.</w:t>
      </w:r>
      <w:r w:rsidR="0059570C" w:rsidRPr="009E5A8D">
        <w:rPr>
          <w:rFonts w:ascii="Arial" w:hAnsi="Arial" w:cs="Arial"/>
        </w:rPr>
        <w:t xml:space="preserve"> The Company disclaims any obligation to update such statements or to announce publicly the results of any revisions that it may make to any forward-looking statements to reflect the occurrence of anticipated or unanticipated events or circumstances after the date of such statements.</w:t>
      </w:r>
    </w:p>
    <w:p w14:paraId="33772042" w14:textId="77777777" w:rsidR="0083772B" w:rsidRDefault="0083772B" w:rsidP="005F176E">
      <w:pPr>
        <w:ind w:left="720"/>
        <w:rPr>
          <w:rFonts w:ascii="Arial" w:hAnsi="Arial" w:cs="Arial"/>
        </w:rPr>
      </w:pPr>
    </w:p>
    <w:p w14:paraId="5FE8BE45" w14:textId="77777777" w:rsidR="0083772B" w:rsidRPr="00333D08" w:rsidRDefault="0083772B" w:rsidP="005F176E">
      <w:pPr>
        <w:ind w:left="720"/>
        <w:rPr>
          <w:rFonts w:ascii="Arial" w:hAnsi="Arial" w:cs="Arial"/>
          <w:b/>
        </w:rPr>
      </w:pPr>
      <w:r w:rsidRPr="00333D08">
        <w:rPr>
          <w:rFonts w:ascii="Arial" w:hAnsi="Arial" w:cs="Arial"/>
          <w:b/>
        </w:rPr>
        <w:t>Definition of Non-GAAP Information and Reconciliation to Comparable GAAP Measures</w:t>
      </w:r>
    </w:p>
    <w:p w14:paraId="663CB018" w14:textId="7ED84AE8" w:rsidR="0083772B" w:rsidRPr="009E5A8D" w:rsidRDefault="0083772B" w:rsidP="005F176E">
      <w:pPr>
        <w:ind w:left="720"/>
        <w:rPr>
          <w:rFonts w:ascii="Arial" w:hAnsi="Arial" w:cs="Arial"/>
        </w:rPr>
      </w:pPr>
      <w:r w:rsidRPr="0083772B">
        <w:rPr>
          <w:rFonts w:ascii="Arial" w:hAnsi="Arial" w:cs="Arial"/>
        </w:rPr>
        <w:t>The Company prepares its public financial statements in conformity with accounting principles generally accepted in the United States of America (GAAP). Management uses certain non-GAAP financial measures for evaluating the Company’s performance. One of the primary non-GAAP financial measures utilized by management for evaluating the Company’s performance is operating income. Management’s operating income guidance is also considered a non-GAAP financial measure.</w:t>
      </w:r>
    </w:p>
    <w:p w14:paraId="7904323E" w14:textId="77777777" w:rsidR="00CA53EE" w:rsidRPr="009E5A8D" w:rsidRDefault="00CA53EE" w:rsidP="005F176E">
      <w:pPr>
        <w:ind w:left="720"/>
        <w:rPr>
          <w:rFonts w:ascii="Arial" w:eastAsia="Times New Roman" w:hAnsi="Arial" w:cs="Arial"/>
        </w:rPr>
      </w:pPr>
    </w:p>
    <w:p w14:paraId="5A7CA9DE" w14:textId="305698E3" w:rsidR="0083772B" w:rsidRDefault="0083772B" w:rsidP="005F176E">
      <w:pPr>
        <w:ind w:left="720"/>
        <w:rPr>
          <w:rFonts w:ascii="Arial" w:hAnsi="Arial" w:cs="Arial"/>
        </w:rPr>
      </w:pPr>
      <w:r w:rsidRPr="00333D08">
        <w:rPr>
          <w:rFonts w:ascii="Arial" w:hAnsi="Arial" w:cs="Arial"/>
          <w:vertAlign w:val="superscript"/>
        </w:rPr>
        <w:t>1</w:t>
      </w:r>
      <w:r w:rsidRPr="00512145">
        <w:rPr>
          <w:rFonts w:ascii="Arial" w:hAnsi="Arial" w:cs="Arial"/>
          <w:u w:val="single"/>
        </w:rPr>
        <w:t>Non-GAAP Operating income:</w:t>
      </w:r>
      <w:r w:rsidRPr="0083772B">
        <w:rPr>
          <w:rFonts w:ascii="Arial" w:hAnsi="Arial" w:cs="Arial"/>
        </w:rPr>
        <w:t xml:space="preserve"> </w:t>
      </w:r>
      <w:r w:rsidR="00D23ED6" w:rsidRPr="004B7D14">
        <w:rPr>
          <w:rFonts w:ascii="Arial" w:hAnsi="Arial" w:cs="Arial"/>
        </w:rPr>
        <w:t>Non-GAAP operating income is calculated by excluding net realized investment gains/losses (defined as realized investment gains and losses after applicable federal and state income taxes) from net income. While realized investment gains/losses are integral to the Company’s insurance operations over the long term, the decision to realize investment gains or losses in any particular period is subject to changing market conditions and management’s discretion, and is independent of the Company’s insurance operations. The Company’s calculation of non-GAAP operating income may differ from similar measures used by other companies, so investors should exercise caution when comparing the Company’s measure of non-GAAP operating income to the measure used by other companies.</w:t>
      </w:r>
      <w:r w:rsidRPr="0083772B">
        <w:rPr>
          <w:rFonts w:ascii="Arial" w:hAnsi="Arial" w:cs="Arial"/>
        </w:rPr>
        <w:t xml:space="preserve"> </w:t>
      </w:r>
    </w:p>
    <w:p w14:paraId="265427D7" w14:textId="77777777" w:rsidR="004451DA" w:rsidRPr="009E5A8D" w:rsidRDefault="004451DA" w:rsidP="005F176E">
      <w:pPr>
        <w:ind w:left="720"/>
        <w:rPr>
          <w:rFonts w:ascii="Arial" w:hAnsi="Arial" w:cs="Arial"/>
        </w:rPr>
      </w:pPr>
    </w:p>
    <w:p w14:paraId="4BDA052E" w14:textId="478B8C90" w:rsidR="006F022B" w:rsidRDefault="00D23ED6" w:rsidP="005F176E">
      <w:pPr>
        <w:pStyle w:val="BodyText"/>
        <w:ind w:left="720" w:firstLine="4"/>
        <w:rPr>
          <w:rFonts w:ascii="Arial" w:hAnsi="Arial" w:cs="Arial"/>
        </w:rPr>
      </w:pPr>
      <w:r w:rsidRPr="004B7D14">
        <w:rPr>
          <w:rFonts w:ascii="Arial" w:hAnsi="Arial" w:cs="Arial"/>
        </w:rPr>
        <w:t>Management believes non-GAAP operating income is useful to investors because it illustrates the performance of the Company’s normal, ongoing operations, which is important in understanding and evaluating the Company’s financial condition and results of operations. While this measure is consistent with measures utilized by investors and analysts to evaluate performance, it is not intended as a substitute for the GAAP financial measure of net income. Therefore, the Company has provided the following reconciliations of the GAAP financial measures of net income and net income per share, to the non-GAAP financial measures of non-GAAP operating income and non-GAAP operating income per share.</w:t>
      </w:r>
      <w:r w:rsidR="00512145">
        <w:rPr>
          <w:rFonts w:ascii="Arial" w:hAnsi="Arial" w:cs="Arial"/>
        </w:rPr>
        <w:t xml:space="preserve"> </w:t>
      </w:r>
    </w:p>
    <w:p w14:paraId="61F47617" w14:textId="77777777" w:rsidR="00EC2E9B" w:rsidRDefault="00EC2E9B" w:rsidP="005F176E">
      <w:pPr>
        <w:pStyle w:val="BodyText"/>
        <w:ind w:left="720" w:firstLine="4"/>
        <w:rPr>
          <w:rFonts w:ascii="Arial" w:hAnsi="Arial" w:cs="Arial"/>
        </w:rPr>
      </w:pPr>
    </w:p>
    <w:p w14:paraId="18439176" w14:textId="17443B83" w:rsidR="00FA4C92" w:rsidRDefault="000F61E4" w:rsidP="005F176E">
      <w:pPr>
        <w:pStyle w:val="BodyText"/>
        <w:ind w:left="720" w:firstLine="4"/>
      </w:pPr>
      <w:r>
        <w:lastRenderedPageBreak/>
        <w:pict w14:anchorId="23BC07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8.95pt;height:236.65pt">
            <v:imagedata r:id="rId9" o:title=""/>
          </v:shape>
        </w:pict>
      </w:r>
    </w:p>
    <w:p w14:paraId="77B69131" w14:textId="77777777" w:rsidR="005A4131" w:rsidRDefault="005A4131" w:rsidP="005F176E">
      <w:pPr>
        <w:pStyle w:val="BodyText"/>
        <w:ind w:left="720" w:firstLine="4"/>
      </w:pPr>
    </w:p>
    <w:p w14:paraId="4EEACA2F" w14:textId="77777777" w:rsidR="005A4131" w:rsidRPr="004B7D14" w:rsidRDefault="005A4131" w:rsidP="005F176E">
      <w:pPr>
        <w:pStyle w:val="BodyText"/>
        <w:ind w:left="720" w:right="90" w:firstLine="0"/>
        <w:rPr>
          <w:rFonts w:ascii="Arial" w:hAnsi="Arial" w:cs="Arial"/>
        </w:rPr>
      </w:pPr>
      <w:r w:rsidRPr="004711D1">
        <w:rPr>
          <w:rFonts w:ascii="Arial" w:hAnsi="Arial" w:cs="Arial"/>
          <w:b/>
        </w:rPr>
        <w:t xml:space="preserve">Industry Metric – Premiums Written </w:t>
      </w:r>
    </w:p>
    <w:p w14:paraId="205B51B5" w14:textId="6771D0DD" w:rsidR="005A4131" w:rsidRDefault="005A4131" w:rsidP="005F176E">
      <w:pPr>
        <w:ind w:left="720" w:right="90"/>
        <w:rPr>
          <w:rFonts w:ascii="Arial" w:hAnsi="Arial" w:cs="Arial"/>
        </w:rPr>
      </w:pPr>
      <w:r w:rsidRPr="004B7D14">
        <w:rPr>
          <w:rFonts w:ascii="Arial" w:hAnsi="Arial" w:cs="Arial"/>
          <w:vertAlign w:val="superscript"/>
        </w:rPr>
        <w:t>2</w:t>
      </w:r>
      <w:r w:rsidRPr="004B7D14">
        <w:rPr>
          <w:rFonts w:ascii="Arial" w:hAnsi="Arial" w:cs="Arial"/>
          <w:u w:val="single"/>
        </w:rPr>
        <w:t>Premiums written:</w:t>
      </w:r>
      <w:r w:rsidRPr="004B7D14">
        <w:rPr>
          <w:rFonts w:ascii="Arial" w:hAnsi="Arial" w:cs="Arial"/>
        </w:rPr>
        <w:t xml:space="preserve"> </w:t>
      </w:r>
      <w:r w:rsidR="00D23ED6" w:rsidRPr="004711D1">
        <w:rPr>
          <w:rFonts w:ascii="Arial" w:hAnsi="Arial" w:cs="Arial"/>
        </w:rPr>
        <w:t>Premiums written is an industry metric used in statutory accounting to quantify the amount of insurance sold during a specified reporting period.</w:t>
      </w:r>
      <w:r w:rsidR="00D23ED6" w:rsidRPr="004B7D14">
        <w:rPr>
          <w:rFonts w:ascii="Arial" w:hAnsi="Arial" w:cs="Arial"/>
        </w:rPr>
        <w:t xml:space="preserve"> Management analyzes trends in premiums written to assess business efforts, and uses it as a financial measure for goal setting and determining a portion of employee and senior management awards and compensation. Premiums earned, used in both statutory and GAAP accounting, is the recognition of the portion of premiums written directly related to the expired portion of an insurance</w:t>
      </w:r>
      <w:r w:rsidR="00D23ED6" w:rsidRPr="00063201">
        <w:rPr>
          <w:rFonts w:ascii="Arial" w:hAnsi="Arial" w:cs="Arial"/>
        </w:rPr>
        <w:t xml:space="preserve"> policy for a given reporting period. The unexpired portion of premiums written is </w:t>
      </w:r>
      <w:r w:rsidR="00D23ED6">
        <w:rPr>
          <w:rFonts w:ascii="Arial" w:hAnsi="Arial" w:cs="Arial"/>
        </w:rPr>
        <w:t xml:space="preserve">referred to as </w:t>
      </w:r>
      <w:r w:rsidR="00D23ED6" w:rsidRPr="00063201">
        <w:rPr>
          <w:rFonts w:ascii="Arial" w:hAnsi="Arial" w:cs="Arial"/>
        </w:rPr>
        <w:t xml:space="preserve">unearned premiums, and represents the portion </w:t>
      </w:r>
      <w:r w:rsidR="00D23ED6">
        <w:rPr>
          <w:rFonts w:ascii="Arial" w:hAnsi="Arial" w:cs="Arial"/>
        </w:rPr>
        <w:t xml:space="preserve">of premiums written </w:t>
      </w:r>
      <w:r w:rsidR="00D23ED6" w:rsidRPr="00063201">
        <w:rPr>
          <w:rFonts w:ascii="Arial" w:hAnsi="Arial" w:cs="Arial"/>
        </w:rPr>
        <w:t>that would be returned to a policyholder upon cancellation</w:t>
      </w:r>
      <w:r w:rsidR="00D23ED6">
        <w:rPr>
          <w:rFonts w:ascii="Arial" w:hAnsi="Arial" w:cs="Arial"/>
        </w:rPr>
        <w:t xml:space="preserve"> of a policy</w:t>
      </w:r>
      <w:r w:rsidR="00D23ED6" w:rsidRPr="00063201">
        <w:rPr>
          <w:rFonts w:ascii="Arial" w:hAnsi="Arial" w:cs="Arial"/>
        </w:rPr>
        <w:t>.</w:t>
      </w:r>
    </w:p>
    <w:p w14:paraId="7765EF49" w14:textId="77777777" w:rsidR="005A4131" w:rsidRDefault="005A4131" w:rsidP="005F176E">
      <w:pPr>
        <w:pStyle w:val="BodyText"/>
        <w:ind w:left="720" w:firstLine="4"/>
      </w:pPr>
    </w:p>
    <w:p w14:paraId="00843A15" w14:textId="0B87573A" w:rsidR="00FA1E5E" w:rsidRDefault="000F61E4" w:rsidP="005F176E">
      <w:pPr>
        <w:pStyle w:val="BodyText"/>
        <w:ind w:left="720" w:firstLine="4"/>
      </w:pPr>
      <w:r>
        <w:lastRenderedPageBreak/>
        <w:pict w14:anchorId="5962D635">
          <v:shape id="_x0000_i1026" type="#_x0000_t75" style="width:468.3pt;height:619.2pt">
            <v:imagedata r:id="rId10" o:title=""/>
          </v:shape>
        </w:pict>
      </w:r>
    </w:p>
    <w:p w14:paraId="24EFBBD7" w14:textId="0FF0E50E" w:rsidR="00785E3B" w:rsidRDefault="00785E3B" w:rsidP="005F176E">
      <w:pPr>
        <w:pStyle w:val="BodyText"/>
        <w:ind w:left="720" w:firstLine="4"/>
      </w:pPr>
    </w:p>
    <w:p w14:paraId="7BCD07CC" w14:textId="59ECA993" w:rsidR="00CA32A2" w:rsidRDefault="000F61E4" w:rsidP="005F176E">
      <w:pPr>
        <w:pStyle w:val="BodyText"/>
        <w:ind w:left="720" w:firstLine="4"/>
      </w:pPr>
      <w:r>
        <w:lastRenderedPageBreak/>
        <w:pict w14:anchorId="1F0543D0">
          <v:shape id="_x0000_i1027" type="#_x0000_t75" style="width:468.3pt;height:583.5pt">
            <v:imagedata r:id="rId11" o:title=""/>
          </v:shape>
        </w:pict>
      </w:r>
    </w:p>
    <w:p w14:paraId="0550011A" w14:textId="19338541" w:rsidR="00785E3B" w:rsidRPr="00B53BB5" w:rsidRDefault="000F61E4" w:rsidP="005F176E">
      <w:pPr>
        <w:pStyle w:val="BodyText"/>
        <w:ind w:left="720" w:firstLine="4"/>
      </w:pPr>
      <w:r>
        <w:lastRenderedPageBreak/>
        <w:pict w14:anchorId="6BF7B6FA">
          <v:shape id="_x0000_i1028" type="#_x0000_t75" style="width:446.4pt;height:662.4pt">
            <v:imagedata r:id="rId12" o:title=""/>
          </v:shape>
        </w:pict>
      </w:r>
    </w:p>
    <w:p w14:paraId="70852F88" w14:textId="43AB78F1" w:rsidR="00FB7DFC" w:rsidRDefault="00FB7DFC" w:rsidP="005F176E">
      <w:pPr>
        <w:pStyle w:val="BodyText"/>
        <w:ind w:left="720" w:firstLine="4"/>
      </w:pPr>
    </w:p>
    <w:p w14:paraId="2465DF15" w14:textId="244B8667" w:rsidR="00FB7DFC" w:rsidRDefault="00FB7DFC" w:rsidP="005F176E">
      <w:pPr>
        <w:pStyle w:val="BodyText"/>
        <w:ind w:left="720" w:firstLine="4"/>
      </w:pPr>
    </w:p>
    <w:p w14:paraId="1788BCEC" w14:textId="77777777" w:rsidR="00E67152" w:rsidRDefault="00E67152" w:rsidP="005F176E">
      <w:pPr>
        <w:pStyle w:val="BodyText"/>
        <w:spacing w:line="241" w:lineRule="auto"/>
        <w:ind w:left="720" w:right="207" w:firstLine="0"/>
        <w:rPr>
          <w:rFonts w:ascii="Arial" w:hAnsi="Arial" w:cs="Arial"/>
          <w:sz w:val="12"/>
          <w:szCs w:val="12"/>
        </w:rPr>
      </w:pPr>
    </w:p>
    <w:p w14:paraId="73C45F4E" w14:textId="7F729FE8" w:rsidR="00E67152" w:rsidRDefault="000F61E4" w:rsidP="005F176E">
      <w:pPr>
        <w:pStyle w:val="BodyText"/>
        <w:spacing w:line="241" w:lineRule="auto"/>
        <w:ind w:left="720" w:right="207" w:firstLine="0"/>
        <w:rPr>
          <w:rFonts w:ascii="Arial" w:hAnsi="Arial" w:cs="Arial"/>
          <w:sz w:val="12"/>
          <w:szCs w:val="12"/>
        </w:rPr>
      </w:pPr>
      <w:r>
        <w:rPr>
          <w:rFonts w:ascii="Arial" w:hAnsi="Arial" w:cs="Arial"/>
          <w:sz w:val="12"/>
          <w:szCs w:val="12"/>
        </w:rPr>
        <w:lastRenderedPageBreak/>
        <w:pict w14:anchorId="535BAFC3">
          <v:shape id="_x0000_i1029" type="#_x0000_t75" style="width:453.9pt;height:353.1pt">
            <v:imagedata r:id="rId13" o:title=""/>
          </v:shape>
        </w:pict>
      </w:r>
    </w:p>
    <w:p w14:paraId="27E186BF" w14:textId="7DE619E7" w:rsidR="002B778D" w:rsidRDefault="000F61E4" w:rsidP="005F176E">
      <w:pPr>
        <w:pStyle w:val="BodyText"/>
        <w:spacing w:line="241" w:lineRule="auto"/>
        <w:ind w:left="720" w:right="207" w:firstLine="0"/>
        <w:rPr>
          <w:rFonts w:ascii="Arial" w:hAnsi="Arial" w:cs="Arial"/>
          <w:sz w:val="12"/>
          <w:szCs w:val="12"/>
        </w:rPr>
      </w:pPr>
      <w:r>
        <w:rPr>
          <w:rFonts w:ascii="Arial" w:hAnsi="Arial" w:cs="Arial"/>
          <w:sz w:val="12"/>
          <w:szCs w:val="12"/>
        </w:rPr>
        <w:pict w14:anchorId="565B0BF2">
          <v:shape id="_x0000_i1030" type="#_x0000_t75" style="width:467.7pt;height:316.8pt">
            <v:imagedata r:id="rId14" o:title=""/>
          </v:shape>
        </w:pict>
      </w:r>
    </w:p>
    <w:p w14:paraId="7DAF5772" w14:textId="11FB14A6" w:rsidR="0096106E" w:rsidRPr="0026694B" w:rsidRDefault="0096106E" w:rsidP="005F176E">
      <w:pPr>
        <w:pStyle w:val="BodyText"/>
        <w:spacing w:line="241" w:lineRule="auto"/>
        <w:ind w:left="720" w:right="207" w:firstLine="0"/>
        <w:rPr>
          <w:rFonts w:ascii="Arial" w:hAnsi="Arial" w:cs="Arial"/>
          <w:b/>
          <w:sz w:val="20"/>
          <w:szCs w:val="20"/>
        </w:rPr>
      </w:pPr>
      <w:r w:rsidRPr="0026694B">
        <w:rPr>
          <w:rFonts w:ascii="Arial" w:hAnsi="Arial" w:cs="Arial"/>
          <w:b/>
          <w:sz w:val="20"/>
          <w:szCs w:val="20"/>
        </w:rPr>
        <w:t>Contacts</w:t>
      </w:r>
    </w:p>
    <w:p w14:paraId="4ABAB736" w14:textId="77777777" w:rsidR="0096106E" w:rsidRPr="0026694B" w:rsidRDefault="0096106E" w:rsidP="005F176E">
      <w:pPr>
        <w:pStyle w:val="BodyText"/>
        <w:spacing w:line="241" w:lineRule="auto"/>
        <w:ind w:left="720" w:right="207" w:firstLine="0"/>
        <w:rPr>
          <w:rFonts w:ascii="Arial" w:hAnsi="Arial" w:cs="Arial"/>
          <w:sz w:val="20"/>
          <w:szCs w:val="20"/>
        </w:rPr>
      </w:pPr>
      <w:r w:rsidRPr="0026694B">
        <w:rPr>
          <w:rFonts w:ascii="Arial" w:hAnsi="Arial" w:cs="Arial"/>
          <w:sz w:val="20"/>
          <w:szCs w:val="20"/>
        </w:rPr>
        <w:t>Investors:</w:t>
      </w:r>
      <w:r w:rsidRPr="0026694B">
        <w:rPr>
          <w:rFonts w:ascii="Arial" w:hAnsi="Arial" w:cs="Arial"/>
          <w:sz w:val="20"/>
          <w:szCs w:val="20"/>
        </w:rPr>
        <w:tab/>
      </w:r>
      <w:r w:rsidRPr="0026694B">
        <w:rPr>
          <w:rFonts w:ascii="Arial" w:hAnsi="Arial" w:cs="Arial"/>
          <w:sz w:val="20"/>
          <w:szCs w:val="20"/>
        </w:rPr>
        <w:tab/>
      </w:r>
      <w:r w:rsidRPr="0026694B">
        <w:rPr>
          <w:rFonts w:ascii="Arial" w:hAnsi="Arial" w:cs="Arial"/>
          <w:sz w:val="20"/>
          <w:szCs w:val="20"/>
        </w:rPr>
        <w:tab/>
      </w:r>
      <w:r w:rsidRPr="0026694B">
        <w:rPr>
          <w:rFonts w:ascii="Arial" w:hAnsi="Arial" w:cs="Arial"/>
          <w:sz w:val="20"/>
          <w:szCs w:val="20"/>
        </w:rPr>
        <w:tab/>
      </w:r>
      <w:r w:rsidRPr="0026694B">
        <w:rPr>
          <w:rFonts w:ascii="Arial" w:hAnsi="Arial" w:cs="Arial"/>
          <w:sz w:val="20"/>
          <w:szCs w:val="20"/>
        </w:rPr>
        <w:tab/>
      </w:r>
      <w:r w:rsidRPr="0026694B">
        <w:rPr>
          <w:rFonts w:ascii="Arial" w:hAnsi="Arial" w:cs="Arial"/>
          <w:sz w:val="20"/>
          <w:szCs w:val="20"/>
        </w:rPr>
        <w:tab/>
        <w:t>Media:</w:t>
      </w:r>
    </w:p>
    <w:p w14:paraId="781363C3" w14:textId="77777777" w:rsidR="0096106E" w:rsidRPr="0026694B" w:rsidRDefault="0096106E" w:rsidP="005F176E">
      <w:pPr>
        <w:pStyle w:val="BodyText"/>
        <w:spacing w:line="241" w:lineRule="auto"/>
        <w:ind w:left="720" w:right="207" w:firstLine="0"/>
        <w:rPr>
          <w:rFonts w:ascii="Arial" w:hAnsi="Arial" w:cs="Arial"/>
          <w:sz w:val="20"/>
          <w:szCs w:val="20"/>
        </w:rPr>
      </w:pPr>
      <w:r w:rsidRPr="0026694B">
        <w:rPr>
          <w:rFonts w:ascii="Arial" w:hAnsi="Arial" w:cs="Arial"/>
          <w:sz w:val="20"/>
          <w:szCs w:val="20"/>
        </w:rPr>
        <w:t>Steve Walsh, 515-345-2515</w:t>
      </w:r>
      <w:r w:rsidRPr="0026694B">
        <w:rPr>
          <w:rFonts w:ascii="Arial" w:hAnsi="Arial" w:cs="Arial"/>
          <w:sz w:val="20"/>
          <w:szCs w:val="20"/>
        </w:rPr>
        <w:tab/>
      </w:r>
      <w:r w:rsidRPr="0026694B">
        <w:rPr>
          <w:rFonts w:ascii="Arial" w:hAnsi="Arial" w:cs="Arial"/>
          <w:sz w:val="20"/>
          <w:szCs w:val="20"/>
        </w:rPr>
        <w:tab/>
      </w:r>
      <w:r w:rsidRPr="0026694B">
        <w:rPr>
          <w:rFonts w:ascii="Arial" w:hAnsi="Arial" w:cs="Arial"/>
          <w:sz w:val="20"/>
          <w:szCs w:val="20"/>
        </w:rPr>
        <w:tab/>
      </w:r>
      <w:r w:rsidRPr="0026694B">
        <w:rPr>
          <w:rFonts w:ascii="Arial" w:hAnsi="Arial" w:cs="Arial"/>
          <w:sz w:val="20"/>
          <w:szCs w:val="20"/>
        </w:rPr>
        <w:tab/>
        <w:t>Lisa Hamilton, 515-345-7589</w:t>
      </w:r>
    </w:p>
    <w:p w14:paraId="007F2741" w14:textId="370621D1" w:rsidR="00ED75F7" w:rsidRPr="0026694B" w:rsidRDefault="0096106E" w:rsidP="005F176E">
      <w:pPr>
        <w:pStyle w:val="BodyText"/>
        <w:spacing w:line="241" w:lineRule="auto"/>
        <w:ind w:left="720" w:right="207" w:firstLine="0"/>
        <w:rPr>
          <w:rFonts w:ascii="Arial" w:hAnsi="Arial" w:cs="Arial"/>
          <w:sz w:val="20"/>
          <w:szCs w:val="20"/>
        </w:rPr>
      </w:pPr>
      <w:r w:rsidRPr="0026694B">
        <w:rPr>
          <w:rFonts w:ascii="Arial" w:hAnsi="Arial" w:cs="Arial"/>
          <w:sz w:val="20"/>
          <w:szCs w:val="20"/>
        </w:rPr>
        <w:t xml:space="preserve">steve.t.walsh@emcins.com </w:t>
      </w:r>
      <w:r w:rsidRPr="0026694B">
        <w:rPr>
          <w:rFonts w:ascii="Arial" w:hAnsi="Arial" w:cs="Arial"/>
          <w:sz w:val="20"/>
          <w:szCs w:val="20"/>
        </w:rPr>
        <w:tab/>
      </w:r>
      <w:r w:rsidRPr="0026694B">
        <w:rPr>
          <w:rFonts w:ascii="Arial" w:hAnsi="Arial" w:cs="Arial"/>
          <w:sz w:val="20"/>
          <w:szCs w:val="20"/>
        </w:rPr>
        <w:tab/>
      </w:r>
      <w:r w:rsidRPr="0026694B">
        <w:rPr>
          <w:rFonts w:ascii="Arial" w:hAnsi="Arial" w:cs="Arial"/>
          <w:sz w:val="20"/>
          <w:szCs w:val="20"/>
        </w:rPr>
        <w:tab/>
      </w:r>
      <w:r w:rsidRPr="0026694B">
        <w:rPr>
          <w:rFonts w:ascii="Arial" w:hAnsi="Arial" w:cs="Arial"/>
          <w:sz w:val="20"/>
          <w:szCs w:val="20"/>
        </w:rPr>
        <w:tab/>
        <w:t xml:space="preserve">lisa.l.hamilton@emcins.com </w:t>
      </w:r>
    </w:p>
    <w:sectPr w:rsidR="00ED75F7" w:rsidRPr="0026694B" w:rsidSect="00590BC5">
      <w:type w:val="continuous"/>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7471F8" w14:textId="77777777" w:rsidR="002851CF" w:rsidRDefault="002851CF" w:rsidP="00A82430">
      <w:r>
        <w:separator/>
      </w:r>
    </w:p>
  </w:endnote>
  <w:endnote w:type="continuationSeparator" w:id="0">
    <w:p w14:paraId="00398960" w14:textId="77777777" w:rsidR="002851CF" w:rsidRDefault="002851CF" w:rsidP="00A82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9D5779" w14:textId="77777777" w:rsidR="002851CF" w:rsidRDefault="002851CF" w:rsidP="00A82430">
      <w:r>
        <w:separator/>
      </w:r>
    </w:p>
  </w:footnote>
  <w:footnote w:type="continuationSeparator" w:id="0">
    <w:p w14:paraId="5B25C7CD" w14:textId="77777777" w:rsidR="002851CF" w:rsidRDefault="002851CF" w:rsidP="00A824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4457E9"/>
    <w:multiLevelType w:val="hybridMultilevel"/>
    <w:tmpl w:val="DC8EC550"/>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4C4"/>
    <w:rsid w:val="0000037B"/>
    <w:rsid w:val="0000173F"/>
    <w:rsid w:val="00002358"/>
    <w:rsid w:val="0000379E"/>
    <w:rsid w:val="000051FF"/>
    <w:rsid w:val="00005A50"/>
    <w:rsid w:val="00005BC3"/>
    <w:rsid w:val="000063A4"/>
    <w:rsid w:val="000067FC"/>
    <w:rsid w:val="000103CF"/>
    <w:rsid w:val="00011661"/>
    <w:rsid w:val="00013454"/>
    <w:rsid w:val="0001522D"/>
    <w:rsid w:val="00022835"/>
    <w:rsid w:val="0002438F"/>
    <w:rsid w:val="000256DB"/>
    <w:rsid w:val="00027B3E"/>
    <w:rsid w:val="00027C98"/>
    <w:rsid w:val="00030982"/>
    <w:rsid w:val="0003260F"/>
    <w:rsid w:val="000342C8"/>
    <w:rsid w:val="00034763"/>
    <w:rsid w:val="000350BB"/>
    <w:rsid w:val="00035138"/>
    <w:rsid w:val="00036D58"/>
    <w:rsid w:val="000371D1"/>
    <w:rsid w:val="00040197"/>
    <w:rsid w:val="00041D80"/>
    <w:rsid w:val="00041FC6"/>
    <w:rsid w:val="00042D27"/>
    <w:rsid w:val="0004627D"/>
    <w:rsid w:val="00046A96"/>
    <w:rsid w:val="0004767C"/>
    <w:rsid w:val="00050202"/>
    <w:rsid w:val="00051B70"/>
    <w:rsid w:val="00052061"/>
    <w:rsid w:val="00052546"/>
    <w:rsid w:val="00054B5F"/>
    <w:rsid w:val="00054EFE"/>
    <w:rsid w:val="000556AF"/>
    <w:rsid w:val="00056357"/>
    <w:rsid w:val="00063A20"/>
    <w:rsid w:val="00065F45"/>
    <w:rsid w:val="00073388"/>
    <w:rsid w:val="00074267"/>
    <w:rsid w:val="00076ECC"/>
    <w:rsid w:val="00077622"/>
    <w:rsid w:val="00077AC0"/>
    <w:rsid w:val="00080E7C"/>
    <w:rsid w:val="00081591"/>
    <w:rsid w:val="000827B1"/>
    <w:rsid w:val="000846B7"/>
    <w:rsid w:val="00087C1E"/>
    <w:rsid w:val="00092792"/>
    <w:rsid w:val="0009328D"/>
    <w:rsid w:val="000954DB"/>
    <w:rsid w:val="000A0E0E"/>
    <w:rsid w:val="000A185D"/>
    <w:rsid w:val="000A18CF"/>
    <w:rsid w:val="000A293B"/>
    <w:rsid w:val="000A2D09"/>
    <w:rsid w:val="000A2FE6"/>
    <w:rsid w:val="000A450A"/>
    <w:rsid w:val="000B251B"/>
    <w:rsid w:val="000B3BA3"/>
    <w:rsid w:val="000B42F3"/>
    <w:rsid w:val="000B46D9"/>
    <w:rsid w:val="000B6BE2"/>
    <w:rsid w:val="000B7829"/>
    <w:rsid w:val="000C0C25"/>
    <w:rsid w:val="000C0F1C"/>
    <w:rsid w:val="000C284C"/>
    <w:rsid w:val="000C3178"/>
    <w:rsid w:val="000C44B6"/>
    <w:rsid w:val="000C4AAE"/>
    <w:rsid w:val="000C5523"/>
    <w:rsid w:val="000C5F6F"/>
    <w:rsid w:val="000C682B"/>
    <w:rsid w:val="000D14EE"/>
    <w:rsid w:val="000D32F4"/>
    <w:rsid w:val="000D4430"/>
    <w:rsid w:val="000D68B6"/>
    <w:rsid w:val="000E0269"/>
    <w:rsid w:val="000E02E0"/>
    <w:rsid w:val="000E10AA"/>
    <w:rsid w:val="000E70A8"/>
    <w:rsid w:val="000E73B2"/>
    <w:rsid w:val="000E77CA"/>
    <w:rsid w:val="000F1422"/>
    <w:rsid w:val="000F55C5"/>
    <w:rsid w:val="000F61E4"/>
    <w:rsid w:val="000F69E3"/>
    <w:rsid w:val="0010063E"/>
    <w:rsid w:val="00103391"/>
    <w:rsid w:val="00105F6F"/>
    <w:rsid w:val="0010791A"/>
    <w:rsid w:val="001152CB"/>
    <w:rsid w:val="00115905"/>
    <w:rsid w:val="00116179"/>
    <w:rsid w:val="00117805"/>
    <w:rsid w:val="0012075B"/>
    <w:rsid w:val="00125F33"/>
    <w:rsid w:val="00126768"/>
    <w:rsid w:val="00127C11"/>
    <w:rsid w:val="0013162F"/>
    <w:rsid w:val="0013168B"/>
    <w:rsid w:val="00132532"/>
    <w:rsid w:val="00133AC1"/>
    <w:rsid w:val="00135E36"/>
    <w:rsid w:val="00136C09"/>
    <w:rsid w:val="00137F5C"/>
    <w:rsid w:val="001400BE"/>
    <w:rsid w:val="00140293"/>
    <w:rsid w:val="00140607"/>
    <w:rsid w:val="00140DA0"/>
    <w:rsid w:val="00141D2D"/>
    <w:rsid w:val="00143E01"/>
    <w:rsid w:val="00144380"/>
    <w:rsid w:val="00144FE5"/>
    <w:rsid w:val="00145F1A"/>
    <w:rsid w:val="00145FC0"/>
    <w:rsid w:val="00147B4B"/>
    <w:rsid w:val="00152977"/>
    <w:rsid w:val="00152E74"/>
    <w:rsid w:val="00156272"/>
    <w:rsid w:val="00164011"/>
    <w:rsid w:val="001702CB"/>
    <w:rsid w:val="00170A2D"/>
    <w:rsid w:val="001720B4"/>
    <w:rsid w:val="00175162"/>
    <w:rsid w:val="001764A3"/>
    <w:rsid w:val="00181280"/>
    <w:rsid w:val="001815B5"/>
    <w:rsid w:val="001826BE"/>
    <w:rsid w:val="00182F55"/>
    <w:rsid w:val="00187179"/>
    <w:rsid w:val="00193759"/>
    <w:rsid w:val="001942F5"/>
    <w:rsid w:val="00194BEA"/>
    <w:rsid w:val="00195217"/>
    <w:rsid w:val="001960DF"/>
    <w:rsid w:val="001970FD"/>
    <w:rsid w:val="0019797C"/>
    <w:rsid w:val="00197B0F"/>
    <w:rsid w:val="00197F48"/>
    <w:rsid w:val="001A21A8"/>
    <w:rsid w:val="001A32E7"/>
    <w:rsid w:val="001A4BA9"/>
    <w:rsid w:val="001A4CB4"/>
    <w:rsid w:val="001A50F2"/>
    <w:rsid w:val="001A52C3"/>
    <w:rsid w:val="001A5A16"/>
    <w:rsid w:val="001A6418"/>
    <w:rsid w:val="001A6874"/>
    <w:rsid w:val="001A6CCF"/>
    <w:rsid w:val="001A7C89"/>
    <w:rsid w:val="001A7CD2"/>
    <w:rsid w:val="001A7F95"/>
    <w:rsid w:val="001B12DA"/>
    <w:rsid w:val="001B58AF"/>
    <w:rsid w:val="001B628E"/>
    <w:rsid w:val="001C0172"/>
    <w:rsid w:val="001C02DA"/>
    <w:rsid w:val="001C2366"/>
    <w:rsid w:val="001C45B8"/>
    <w:rsid w:val="001C4A49"/>
    <w:rsid w:val="001C4AC6"/>
    <w:rsid w:val="001C69C3"/>
    <w:rsid w:val="001C702A"/>
    <w:rsid w:val="001C76FD"/>
    <w:rsid w:val="001D1519"/>
    <w:rsid w:val="001D34F7"/>
    <w:rsid w:val="001D56B5"/>
    <w:rsid w:val="001D68AB"/>
    <w:rsid w:val="001D7F35"/>
    <w:rsid w:val="001E00EE"/>
    <w:rsid w:val="001E0ADE"/>
    <w:rsid w:val="001E1123"/>
    <w:rsid w:val="001E461D"/>
    <w:rsid w:val="001E7142"/>
    <w:rsid w:val="001E7AAB"/>
    <w:rsid w:val="001F1966"/>
    <w:rsid w:val="001F232B"/>
    <w:rsid w:val="001F3A92"/>
    <w:rsid w:val="001F5163"/>
    <w:rsid w:val="001F549F"/>
    <w:rsid w:val="001F6FD0"/>
    <w:rsid w:val="00200412"/>
    <w:rsid w:val="002007B0"/>
    <w:rsid w:val="002024B5"/>
    <w:rsid w:val="0020429E"/>
    <w:rsid w:val="0020564A"/>
    <w:rsid w:val="00206072"/>
    <w:rsid w:val="002062E1"/>
    <w:rsid w:val="0020734C"/>
    <w:rsid w:val="00207B13"/>
    <w:rsid w:val="002108EE"/>
    <w:rsid w:val="00212AC6"/>
    <w:rsid w:val="00212C79"/>
    <w:rsid w:val="00215C4B"/>
    <w:rsid w:val="002218CD"/>
    <w:rsid w:val="002252B4"/>
    <w:rsid w:val="00226994"/>
    <w:rsid w:val="0023265F"/>
    <w:rsid w:val="00232D6E"/>
    <w:rsid w:val="0023540E"/>
    <w:rsid w:val="002405DB"/>
    <w:rsid w:val="0024083D"/>
    <w:rsid w:val="002421AD"/>
    <w:rsid w:val="00243D63"/>
    <w:rsid w:val="0024444F"/>
    <w:rsid w:val="00244682"/>
    <w:rsid w:val="0024580B"/>
    <w:rsid w:val="00245E6A"/>
    <w:rsid w:val="00250BB5"/>
    <w:rsid w:val="0025127C"/>
    <w:rsid w:val="00251712"/>
    <w:rsid w:val="00251F14"/>
    <w:rsid w:val="00252661"/>
    <w:rsid w:val="00253F79"/>
    <w:rsid w:val="0025579A"/>
    <w:rsid w:val="00256E99"/>
    <w:rsid w:val="00257F0C"/>
    <w:rsid w:val="00257F62"/>
    <w:rsid w:val="002638F5"/>
    <w:rsid w:val="002660E8"/>
    <w:rsid w:val="0026694B"/>
    <w:rsid w:val="002714FE"/>
    <w:rsid w:val="002726A3"/>
    <w:rsid w:val="00272943"/>
    <w:rsid w:val="00273F02"/>
    <w:rsid w:val="00274488"/>
    <w:rsid w:val="00277B3D"/>
    <w:rsid w:val="00280068"/>
    <w:rsid w:val="002800E2"/>
    <w:rsid w:val="00280748"/>
    <w:rsid w:val="002809C4"/>
    <w:rsid w:val="00281074"/>
    <w:rsid w:val="00281A11"/>
    <w:rsid w:val="00282CD0"/>
    <w:rsid w:val="00282D12"/>
    <w:rsid w:val="00282DC5"/>
    <w:rsid w:val="0028387D"/>
    <w:rsid w:val="002849D5"/>
    <w:rsid w:val="002851CF"/>
    <w:rsid w:val="00285E5A"/>
    <w:rsid w:val="00286E67"/>
    <w:rsid w:val="00291D05"/>
    <w:rsid w:val="00292C89"/>
    <w:rsid w:val="00293C42"/>
    <w:rsid w:val="00297D8B"/>
    <w:rsid w:val="002A0CE6"/>
    <w:rsid w:val="002A26D9"/>
    <w:rsid w:val="002A2887"/>
    <w:rsid w:val="002A292A"/>
    <w:rsid w:val="002A3071"/>
    <w:rsid w:val="002B0037"/>
    <w:rsid w:val="002B02B1"/>
    <w:rsid w:val="002B066C"/>
    <w:rsid w:val="002B2C3F"/>
    <w:rsid w:val="002B425A"/>
    <w:rsid w:val="002B778D"/>
    <w:rsid w:val="002C5543"/>
    <w:rsid w:val="002D1937"/>
    <w:rsid w:val="002D1A12"/>
    <w:rsid w:val="002D1C86"/>
    <w:rsid w:val="002D30BA"/>
    <w:rsid w:val="002D4CB8"/>
    <w:rsid w:val="002D6D0A"/>
    <w:rsid w:val="002D716E"/>
    <w:rsid w:val="002E0D32"/>
    <w:rsid w:val="002E19E1"/>
    <w:rsid w:val="002E363E"/>
    <w:rsid w:val="002E52F2"/>
    <w:rsid w:val="002E7FAF"/>
    <w:rsid w:val="002F2469"/>
    <w:rsid w:val="002F3384"/>
    <w:rsid w:val="002F373D"/>
    <w:rsid w:val="002F542F"/>
    <w:rsid w:val="002F54E9"/>
    <w:rsid w:val="002F6661"/>
    <w:rsid w:val="002F6DB0"/>
    <w:rsid w:val="00300FEE"/>
    <w:rsid w:val="00303284"/>
    <w:rsid w:val="00304D56"/>
    <w:rsid w:val="0030592E"/>
    <w:rsid w:val="00306FAC"/>
    <w:rsid w:val="0031170C"/>
    <w:rsid w:val="003134DB"/>
    <w:rsid w:val="00315D6C"/>
    <w:rsid w:val="00316857"/>
    <w:rsid w:val="00320F4D"/>
    <w:rsid w:val="00323D93"/>
    <w:rsid w:val="00327B48"/>
    <w:rsid w:val="00332090"/>
    <w:rsid w:val="00332EF6"/>
    <w:rsid w:val="00333D08"/>
    <w:rsid w:val="00334977"/>
    <w:rsid w:val="00334AAE"/>
    <w:rsid w:val="00336363"/>
    <w:rsid w:val="003375C5"/>
    <w:rsid w:val="003410CA"/>
    <w:rsid w:val="003414FF"/>
    <w:rsid w:val="0034615E"/>
    <w:rsid w:val="00357683"/>
    <w:rsid w:val="0036036C"/>
    <w:rsid w:val="00361A15"/>
    <w:rsid w:val="0036455E"/>
    <w:rsid w:val="00364D72"/>
    <w:rsid w:val="00366BA5"/>
    <w:rsid w:val="00370DAB"/>
    <w:rsid w:val="00372138"/>
    <w:rsid w:val="0037409A"/>
    <w:rsid w:val="00375395"/>
    <w:rsid w:val="003755CF"/>
    <w:rsid w:val="00376D7C"/>
    <w:rsid w:val="00377A97"/>
    <w:rsid w:val="00380761"/>
    <w:rsid w:val="00381FBA"/>
    <w:rsid w:val="003822D8"/>
    <w:rsid w:val="003826D1"/>
    <w:rsid w:val="00384A05"/>
    <w:rsid w:val="0039050A"/>
    <w:rsid w:val="00392760"/>
    <w:rsid w:val="0039430A"/>
    <w:rsid w:val="0039556E"/>
    <w:rsid w:val="00396B8E"/>
    <w:rsid w:val="00396C41"/>
    <w:rsid w:val="00397D90"/>
    <w:rsid w:val="003A017F"/>
    <w:rsid w:val="003A0883"/>
    <w:rsid w:val="003A296E"/>
    <w:rsid w:val="003A2D04"/>
    <w:rsid w:val="003A4051"/>
    <w:rsid w:val="003A4C7C"/>
    <w:rsid w:val="003A5CA9"/>
    <w:rsid w:val="003A71E8"/>
    <w:rsid w:val="003B1F06"/>
    <w:rsid w:val="003B3086"/>
    <w:rsid w:val="003B3334"/>
    <w:rsid w:val="003B4AC5"/>
    <w:rsid w:val="003C0147"/>
    <w:rsid w:val="003C0E3D"/>
    <w:rsid w:val="003C2585"/>
    <w:rsid w:val="003C4E95"/>
    <w:rsid w:val="003C5BBC"/>
    <w:rsid w:val="003C6F8E"/>
    <w:rsid w:val="003D3BC1"/>
    <w:rsid w:val="003D48C6"/>
    <w:rsid w:val="003D55F9"/>
    <w:rsid w:val="003D6D43"/>
    <w:rsid w:val="003E0BE8"/>
    <w:rsid w:val="003E3759"/>
    <w:rsid w:val="003E45FA"/>
    <w:rsid w:val="003E66FA"/>
    <w:rsid w:val="003F1C0F"/>
    <w:rsid w:val="003F2160"/>
    <w:rsid w:val="003F2772"/>
    <w:rsid w:val="003F3705"/>
    <w:rsid w:val="003F3865"/>
    <w:rsid w:val="003F50AE"/>
    <w:rsid w:val="003F652C"/>
    <w:rsid w:val="003F6E33"/>
    <w:rsid w:val="003F741A"/>
    <w:rsid w:val="003F790C"/>
    <w:rsid w:val="00401D39"/>
    <w:rsid w:val="00402149"/>
    <w:rsid w:val="00402549"/>
    <w:rsid w:val="00403319"/>
    <w:rsid w:val="00403D99"/>
    <w:rsid w:val="004060D2"/>
    <w:rsid w:val="00407FDA"/>
    <w:rsid w:val="004113DA"/>
    <w:rsid w:val="00412F14"/>
    <w:rsid w:val="00413B71"/>
    <w:rsid w:val="00415A39"/>
    <w:rsid w:val="00416172"/>
    <w:rsid w:val="00417333"/>
    <w:rsid w:val="00417895"/>
    <w:rsid w:val="00420D6D"/>
    <w:rsid w:val="004212D9"/>
    <w:rsid w:val="004222FB"/>
    <w:rsid w:val="00423B04"/>
    <w:rsid w:val="00424085"/>
    <w:rsid w:val="00424E05"/>
    <w:rsid w:val="00430F94"/>
    <w:rsid w:val="004328CC"/>
    <w:rsid w:val="00432A61"/>
    <w:rsid w:val="00432F6B"/>
    <w:rsid w:val="0043757B"/>
    <w:rsid w:val="0043761B"/>
    <w:rsid w:val="004407B0"/>
    <w:rsid w:val="0044412A"/>
    <w:rsid w:val="004451DA"/>
    <w:rsid w:val="004458FF"/>
    <w:rsid w:val="00446B52"/>
    <w:rsid w:val="00452F7F"/>
    <w:rsid w:val="00453234"/>
    <w:rsid w:val="0046379C"/>
    <w:rsid w:val="00464F8B"/>
    <w:rsid w:val="0046596F"/>
    <w:rsid w:val="00465BBF"/>
    <w:rsid w:val="00466911"/>
    <w:rsid w:val="004679D0"/>
    <w:rsid w:val="00470E30"/>
    <w:rsid w:val="00472B3C"/>
    <w:rsid w:val="00472DBD"/>
    <w:rsid w:val="00472E6E"/>
    <w:rsid w:val="00474789"/>
    <w:rsid w:val="004774E4"/>
    <w:rsid w:val="0048139D"/>
    <w:rsid w:val="004829F1"/>
    <w:rsid w:val="004836FB"/>
    <w:rsid w:val="00483FFD"/>
    <w:rsid w:val="00485304"/>
    <w:rsid w:val="004869C0"/>
    <w:rsid w:val="00490787"/>
    <w:rsid w:val="00492B58"/>
    <w:rsid w:val="004937F1"/>
    <w:rsid w:val="00494007"/>
    <w:rsid w:val="004956D5"/>
    <w:rsid w:val="0049598C"/>
    <w:rsid w:val="00495A1D"/>
    <w:rsid w:val="004978D4"/>
    <w:rsid w:val="004A16E3"/>
    <w:rsid w:val="004A5D0D"/>
    <w:rsid w:val="004A7DDD"/>
    <w:rsid w:val="004B5821"/>
    <w:rsid w:val="004B6316"/>
    <w:rsid w:val="004B6DF3"/>
    <w:rsid w:val="004B78E8"/>
    <w:rsid w:val="004C09B8"/>
    <w:rsid w:val="004C3164"/>
    <w:rsid w:val="004C3A95"/>
    <w:rsid w:val="004C6F2C"/>
    <w:rsid w:val="004C73BF"/>
    <w:rsid w:val="004C7B4E"/>
    <w:rsid w:val="004D1B96"/>
    <w:rsid w:val="004D2190"/>
    <w:rsid w:val="004D27AC"/>
    <w:rsid w:val="004D47AA"/>
    <w:rsid w:val="004D4B74"/>
    <w:rsid w:val="004D7B9D"/>
    <w:rsid w:val="004D7D1D"/>
    <w:rsid w:val="004E289D"/>
    <w:rsid w:val="004E2A5A"/>
    <w:rsid w:val="004E3651"/>
    <w:rsid w:val="004E4CE3"/>
    <w:rsid w:val="004E4D88"/>
    <w:rsid w:val="004E6025"/>
    <w:rsid w:val="004E6C2B"/>
    <w:rsid w:val="004E6F88"/>
    <w:rsid w:val="004E7450"/>
    <w:rsid w:val="004E76B2"/>
    <w:rsid w:val="004F0B60"/>
    <w:rsid w:val="004F0F19"/>
    <w:rsid w:val="004F1438"/>
    <w:rsid w:val="004F19B2"/>
    <w:rsid w:val="004F1C1D"/>
    <w:rsid w:val="004F48C8"/>
    <w:rsid w:val="004F5A37"/>
    <w:rsid w:val="004F6C86"/>
    <w:rsid w:val="00500A76"/>
    <w:rsid w:val="0050240E"/>
    <w:rsid w:val="00503535"/>
    <w:rsid w:val="00506736"/>
    <w:rsid w:val="00507DE7"/>
    <w:rsid w:val="00512145"/>
    <w:rsid w:val="0051251F"/>
    <w:rsid w:val="00512C10"/>
    <w:rsid w:val="00514D64"/>
    <w:rsid w:val="005154E3"/>
    <w:rsid w:val="00526B86"/>
    <w:rsid w:val="00526C90"/>
    <w:rsid w:val="005272CD"/>
    <w:rsid w:val="005316D7"/>
    <w:rsid w:val="00533199"/>
    <w:rsid w:val="00533A0A"/>
    <w:rsid w:val="00533A98"/>
    <w:rsid w:val="005357AB"/>
    <w:rsid w:val="005376BD"/>
    <w:rsid w:val="00537F65"/>
    <w:rsid w:val="00542B26"/>
    <w:rsid w:val="00545759"/>
    <w:rsid w:val="00551973"/>
    <w:rsid w:val="0055314C"/>
    <w:rsid w:val="00554DB4"/>
    <w:rsid w:val="00561376"/>
    <w:rsid w:val="00563CED"/>
    <w:rsid w:val="00565089"/>
    <w:rsid w:val="00565257"/>
    <w:rsid w:val="00565B50"/>
    <w:rsid w:val="00565EDB"/>
    <w:rsid w:val="00566417"/>
    <w:rsid w:val="00566A44"/>
    <w:rsid w:val="00566CE5"/>
    <w:rsid w:val="00567D9D"/>
    <w:rsid w:val="0057221F"/>
    <w:rsid w:val="00574430"/>
    <w:rsid w:val="00575176"/>
    <w:rsid w:val="0057570D"/>
    <w:rsid w:val="0057693C"/>
    <w:rsid w:val="005775EC"/>
    <w:rsid w:val="00582819"/>
    <w:rsid w:val="00583E35"/>
    <w:rsid w:val="00585423"/>
    <w:rsid w:val="00585431"/>
    <w:rsid w:val="00586D58"/>
    <w:rsid w:val="005902A2"/>
    <w:rsid w:val="00590589"/>
    <w:rsid w:val="00590BC5"/>
    <w:rsid w:val="00590C13"/>
    <w:rsid w:val="00593678"/>
    <w:rsid w:val="00594340"/>
    <w:rsid w:val="0059570C"/>
    <w:rsid w:val="00597D82"/>
    <w:rsid w:val="005A08C2"/>
    <w:rsid w:val="005A0C96"/>
    <w:rsid w:val="005A13AF"/>
    <w:rsid w:val="005A27AA"/>
    <w:rsid w:val="005A2A54"/>
    <w:rsid w:val="005A34B0"/>
    <w:rsid w:val="005A40B3"/>
    <w:rsid w:val="005A4131"/>
    <w:rsid w:val="005A4166"/>
    <w:rsid w:val="005A5CEA"/>
    <w:rsid w:val="005A760F"/>
    <w:rsid w:val="005B0D29"/>
    <w:rsid w:val="005B338E"/>
    <w:rsid w:val="005B3D15"/>
    <w:rsid w:val="005B5836"/>
    <w:rsid w:val="005B5CAF"/>
    <w:rsid w:val="005B609D"/>
    <w:rsid w:val="005C0CF3"/>
    <w:rsid w:val="005C17CE"/>
    <w:rsid w:val="005C2CD1"/>
    <w:rsid w:val="005C315C"/>
    <w:rsid w:val="005C564A"/>
    <w:rsid w:val="005C5FAD"/>
    <w:rsid w:val="005C7638"/>
    <w:rsid w:val="005D00A4"/>
    <w:rsid w:val="005D059B"/>
    <w:rsid w:val="005D1E85"/>
    <w:rsid w:val="005D276F"/>
    <w:rsid w:val="005D727A"/>
    <w:rsid w:val="005E06D7"/>
    <w:rsid w:val="005E1003"/>
    <w:rsid w:val="005E1FA0"/>
    <w:rsid w:val="005E3B09"/>
    <w:rsid w:val="005E512B"/>
    <w:rsid w:val="005E6F62"/>
    <w:rsid w:val="005E7E7A"/>
    <w:rsid w:val="005F013D"/>
    <w:rsid w:val="005F0D14"/>
    <w:rsid w:val="005F1003"/>
    <w:rsid w:val="005F140E"/>
    <w:rsid w:val="005F151C"/>
    <w:rsid w:val="005F176E"/>
    <w:rsid w:val="005F1E8C"/>
    <w:rsid w:val="005F257B"/>
    <w:rsid w:val="005F2674"/>
    <w:rsid w:val="005F469D"/>
    <w:rsid w:val="005F5925"/>
    <w:rsid w:val="005F6448"/>
    <w:rsid w:val="005F6721"/>
    <w:rsid w:val="00600FA4"/>
    <w:rsid w:val="0060194A"/>
    <w:rsid w:val="00602EDD"/>
    <w:rsid w:val="00603A2E"/>
    <w:rsid w:val="00605592"/>
    <w:rsid w:val="0060574D"/>
    <w:rsid w:val="00612C79"/>
    <w:rsid w:val="00615D2B"/>
    <w:rsid w:val="00616416"/>
    <w:rsid w:val="00625873"/>
    <w:rsid w:val="0062693D"/>
    <w:rsid w:val="006270AB"/>
    <w:rsid w:val="006307B5"/>
    <w:rsid w:val="00631987"/>
    <w:rsid w:val="00631EFD"/>
    <w:rsid w:val="00631FB4"/>
    <w:rsid w:val="006355BA"/>
    <w:rsid w:val="00637B66"/>
    <w:rsid w:val="00642E88"/>
    <w:rsid w:val="00643952"/>
    <w:rsid w:val="00645A8F"/>
    <w:rsid w:val="006465E8"/>
    <w:rsid w:val="00647F4F"/>
    <w:rsid w:val="00650B50"/>
    <w:rsid w:val="00650E4A"/>
    <w:rsid w:val="00651149"/>
    <w:rsid w:val="0065128E"/>
    <w:rsid w:val="00655F3F"/>
    <w:rsid w:val="00657281"/>
    <w:rsid w:val="00662534"/>
    <w:rsid w:val="00662744"/>
    <w:rsid w:val="0066312E"/>
    <w:rsid w:val="00664D81"/>
    <w:rsid w:val="00665B4D"/>
    <w:rsid w:val="00666FDC"/>
    <w:rsid w:val="00671B8B"/>
    <w:rsid w:val="0067238B"/>
    <w:rsid w:val="00672B7A"/>
    <w:rsid w:val="00673497"/>
    <w:rsid w:val="00675A3E"/>
    <w:rsid w:val="00680231"/>
    <w:rsid w:val="006814C1"/>
    <w:rsid w:val="00685146"/>
    <w:rsid w:val="006875B5"/>
    <w:rsid w:val="006944A9"/>
    <w:rsid w:val="00694571"/>
    <w:rsid w:val="0069459D"/>
    <w:rsid w:val="006A00FF"/>
    <w:rsid w:val="006A10A1"/>
    <w:rsid w:val="006A635E"/>
    <w:rsid w:val="006A6C1D"/>
    <w:rsid w:val="006A6E3E"/>
    <w:rsid w:val="006A72F9"/>
    <w:rsid w:val="006A7EF5"/>
    <w:rsid w:val="006B1766"/>
    <w:rsid w:val="006B5683"/>
    <w:rsid w:val="006B750D"/>
    <w:rsid w:val="006C0821"/>
    <w:rsid w:val="006C0E22"/>
    <w:rsid w:val="006D163B"/>
    <w:rsid w:val="006D2A8B"/>
    <w:rsid w:val="006D367C"/>
    <w:rsid w:val="006D43F6"/>
    <w:rsid w:val="006D5651"/>
    <w:rsid w:val="006D7F0D"/>
    <w:rsid w:val="006E4409"/>
    <w:rsid w:val="006E4E27"/>
    <w:rsid w:val="006E54CB"/>
    <w:rsid w:val="006E6054"/>
    <w:rsid w:val="006E68CF"/>
    <w:rsid w:val="006E7B92"/>
    <w:rsid w:val="006F022B"/>
    <w:rsid w:val="006F0369"/>
    <w:rsid w:val="006F07A5"/>
    <w:rsid w:val="006F122A"/>
    <w:rsid w:val="006F2178"/>
    <w:rsid w:val="006F286F"/>
    <w:rsid w:val="006F471E"/>
    <w:rsid w:val="006F4E7F"/>
    <w:rsid w:val="006F4FF5"/>
    <w:rsid w:val="006F60D8"/>
    <w:rsid w:val="007044C5"/>
    <w:rsid w:val="00704F44"/>
    <w:rsid w:val="00705654"/>
    <w:rsid w:val="007073D3"/>
    <w:rsid w:val="00712391"/>
    <w:rsid w:val="00713074"/>
    <w:rsid w:val="007200C7"/>
    <w:rsid w:val="0072112D"/>
    <w:rsid w:val="007216C0"/>
    <w:rsid w:val="0072351D"/>
    <w:rsid w:val="00723712"/>
    <w:rsid w:val="00723F65"/>
    <w:rsid w:val="0072470E"/>
    <w:rsid w:val="00726A83"/>
    <w:rsid w:val="00727463"/>
    <w:rsid w:val="00727722"/>
    <w:rsid w:val="00731124"/>
    <w:rsid w:val="00732429"/>
    <w:rsid w:val="0073243E"/>
    <w:rsid w:val="00734519"/>
    <w:rsid w:val="0073583D"/>
    <w:rsid w:val="007374C2"/>
    <w:rsid w:val="007403BF"/>
    <w:rsid w:val="0074183A"/>
    <w:rsid w:val="00743C1F"/>
    <w:rsid w:val="007443D4"/>
    <w:rsid w:val="00745A02"/>
    <w:rsid w:val="00747E99"/>
    <w:rsid w:val="007528A1"/>
    <w:rsid w:val="00753010"/>
    <w:rsid w:val="00754932"/>
    <w:rsid w:val="00756484"/>
    <w:rsid w:val="0076153A"/>
    <w:rsid w:val="00761A80"/>
    <w:rsid w:val="00761FAF"/>
    <w:rsid w:val="007637BF"/>
    <w:rsid w:val="00763FA0"/>
    <w:rsid w:val="007672C1"/>
    <w:rsid w:val="007738EB"/>
    <w:rsid w:val="00777A07"/>
    <w:rsid w:val="007813A4"/>
    <w:rsid w:val="00782E22"/>
    <w:rsid w:val="00785E3B"/>
    <w:rsid w:val="00790607"/>
    <w:rsid w:val="00790E9D"/>
    <w:rsid w:val="00792C45"/>
    <w:rsid w:val="0079724A"/>
    <w:rsid w:val="007A21BF"/>
    <w:rsid w:val="007A2D80"/>
    <w:rsid w:val="007A48FE"/>
    <w:rsid w:val="007B19EF"/>
    <w:rsid w:val="007B1C06"/>
    <w:rsid w:val="007B2B76"/>
    <w:rsid w:val="007B312A"/>
    <w:rsid w:val="007B39D6"/>
    <w:rsid w:val="007B659D"/>
    <w:rsid w:val="007B665F"/>
    <w:rsid w:val="007B66BD"/>
    <w:rsid w:val="007B7FEE"/>
    <w:rsid w:val="007C0C9E"/>
    <w:rsid w:val="007C3936"/>
    <w:rsid w:val="007C6A81"/>
    <w:rsid w:val="007C77D5"/>
    <w:rsid w:val="007D3C87"/>
    <w:rsid w:val="007D4EC0"/>
    <w:rsid w:val="007D6801"/>
    <w:rsid w:val="007E03C7"/>
    <w:rsid w:val="007E04A8"/>
    <w:rsid w:val="007E0966"/>
    <w:rsid w:val="007E2BF7"/>
    <w:rsid w:val="007E31FB"/>
    <w:rsid w:val="007F1456"/>
    <w:rsid w:val="007F375C"/>
    <w:rsid w:val="007F4C66"/>
    <w:rsid w:val="007F5718"/>
    <w:rsid w:val="007F6543"/>
    <w:rsid w:val="0080175B"/>
    <w:rsid w:val="008028A0"/>
    <w:rsid w:val="00807304"/>
    <w:rsid w:val="00812E7F"/>
    <w:rsid w:val="00813EFF"/>
    <w:rsid w:val="00815DAD"/>
    <w:rsid w:val="00816AE9"/>
    <w:rsid w:val="00820158"/>
    <w:rsid w:val="00820DAF"/>
    <w:rsid w:val="00822864"/>
    <w:rsid w:val="00822BC5"/>
    <w:rsid w:val="00824F19"/>
    <w:rsid w:val="008253A4"/>
    <w:rsid w:val="00825DE0"/>
    <w:rsid w:val="00826FB4"/>
    <w:rsid w:val="00830350"/>
    <w:rsid w:val="008326B4"/>
    <w:rsid w:val="00832C3B"/>
    <w:rsid w:val="00832D11"/>
    <w:rsid w:val="00835857"/>
    <w:rsid w:val="0083772B"/>
    <w:rsid w:val="00841903"/>
    <w:rsid w:val="008443BD"/>
    <w:rsid w:val="00844DC1"/>
    <w:rsid w:val="0084571D"/>
    <w:rsid w:val="00847B1F"/>
    <w:rsid w:val="00851622"/>
    <w:rsid w:val="0085267F"/>
    <w:rsid w:val="008526BC"/>
    <w:rsid w:val="00852BEC"/>
    <w:rsid w:val="00855CFD"/>
    <w:rsid w:val="00857700"/>
    <w:rsid w:val="00857B70"/>
    <w:rsid w:val="00861049"/>
    <w:rsid w:val="00862F84"/>
    <w:rsid w:val="0086569F"/>
    <w:rsid w:val="008656F2"/>
    <w:rsid w:val="0086616F"/>
    <w:rsid w:val="00866FAD"/>
    <w:rsid w:val="0086753D"/>
    <w:rsid w:val="00871ECE"/>
    <w:rsid w:val="00873B78"/>
    <w:rsid w:val="00874EE7"/>
    <w:rsid w:val="00875DB5"/>
    <w:rsid w:val="0088049E"/>
    <w:rsid w:val="00880882"/>
    <w:rsid w:val="008821C6"/>
    <w:rsid w:val="00882878"/>
    <w:rsid w:val="00883FCD"/>
    <w:rsid w:val="00884027"/>
    <w:rsid w:val="00884FB5"/>
    <w:rsid w:val="00887E87"/>
    <w:rsid w:val="00891356"/>
    <w:rsid w:val="00892063"/>
    <w:rsid w:val="0089290A"/>
    <w:rsid w:val="00894E1D"/>
    <w:rsid w:val="008952DD"/>
    <w:rsid w:val="008976AE"/>
    <w:rsid w:val="00897B34"/>
    <w:rsid w:val="008A1A1C"/>
    <w:rsid w:val="008A1B12"/>
    <w:rsid w:val="008A2A0A"/>
    <w:rsid w:val="008A3949"/>
    <w:rsid w:val="008A50F6"/>
    <w:rsid w:val="008A7B1F"/>
    <w:rsid w:val="008A7E27"/>
    <w:rsid w:val="008B1418"/>
    <w:rsid w:val="008B2717"/>
    <w:rsid w:val="008B5537"/>
    <w:rsid w:val="008C4DD3"/>
    <w:rsid w:val="008C52E0"/>
    <w:rsid w:val="008C56EA"/>
    <w:rsid w:val="008C680C"/>
    <w:rsid w:val="008C6AAD"/>
    <w:rsid w:val="008C6E31"/>
    <w:rsid w:val="008D4C08"/>
    <w:rsid w:val="008D5D5D"/>
    <w:rsid w:val="008D5E8E"/>
    <w:rsid w:val="008D6BA3"/>
    <w:rsid w:val="008E0962"/>
    <w:rsid w:val="008E0B1D"/>
    <w:rsid w:val="008E242D"/>
    <w:rsid w:val="008E2702"/>
    <w:rsid w:val="008E275D"/>
    <w:rsid w:val="008E2A12"/>
    <w:rsid w:val="008E36D1"/>
    <w:rsid w:val="008E44A8"/>
    <w:rsid w:val="008E5185"/>
    <w:rsid w:val="008E61B8"/>
    <w:rsid w:val="008E7064"/>
    <w:rsid w:val="008E7920"/>
    <w:rsid w:val="008E7C1C"/>
    <w:rsid w:val="008F00E7"/>
    <w:rsid w:val="008F3870"/>
    <w:rsid w:val="008F3890"/>
    <w:rsid w:val="008F5A0E"/>
    <w:rsid w:val="008F60C0"/>
    <w:rsid w:val="008F74F1"/>
    <w:rsid w:val="008F74FC"/>
    <w:rsid w:val="009013A2"/>
    <w:rsid w:val="00901EED"/>
    <w:rsid w:val="00902342"/>
    <w:rsid w:val="009034F7"/>
    <w:rsid w:val="0090486B"/>
    <w:rsid w:val="00905207"/>
    <w:rsid w:val="00907454"/>
    <w:rsid w:val="00907FF5"/>
    <w:rsid w:val="009119ED"/>
    <w:rsid w:val="00911C82"/>
    <w:rsid w:val="00911F3B"/>
    <w:rsid w:val="00914303"/>
    <w:rsid w:val="0092080C"/>
    <w:rsid w:val="009209D6"/>
    <w:rsid w:val="00922C27"/>
    <w:rsid w:val="009253F1"/>
    <w:rsid w:val="00926288"/>
    <w:rsid w:val="00927262"/>
    <w:rsid w:val="00927488"/>
    <w:rsid w:val="00927F12"/>
    <w:rsid w:val="009310B1"/>
    <w:rsid w:val="00935CBA"/>
    <w:rsid w:val="0093712E"/>
    <w:rsid w:val="00941627"/>
    <w:rsid w:val="00942EB5"/>
    <w:rsid w:val="00942EEC"/>
    <w:rsid w:val="009448E6"/>
    <w:rsid w:val="00944FA3"/>
    <w:rsid w:val="0094612D"/>
    <w:rsid w:val="009465F5"/>
    <w:rsid w:val="009527F0"/>
    <w:rsid w:val="009535B4"/>
    <w:rsid w:val="009577E5"/>
    <w:rsid w:val="00960F44"/>
    <w:rsid w:val="0096106E"/>
    <w:rsid w:val="00962339"/>
    <w:rsid w:val="0096355C"/>
    <w:rsid w:val="00964877"/>
    <w:rsid w:val="00966023"/>
    <w:rsid w:val="009667D9"/>
    <w:rsid w:val="009718EC"/>
    <w:rsid w:val="00972692"/>
    <w:rsid w:val="00972836"/>
    <w:rsid w:val="00975AC4"/>
    <w:rsid w:val="00976CD4"/>
    <w:rsid w:val="00977833"/>
    <w:rsid w:val="00980173"/>
    <w:rsid w:val="00980D4F"/>
    <w:rsid w:val="00985063"/>
    <w:rsid w:val="00993337"/>
    <w:rsid w:val="00995063"/>
    <w:rsid w:val="0099537C"/>
    <w:rsid w:val="009955C6"/>
    <w:rsid w:val="009958DA"/>
    <w:rsid w:val="0099660B"/>
    <w:rsid w:val="009977EB"/>
    <w:rsid w:val="00997FC6"/>
    <w:rsid w:val="009A009B"/>
    <w:rsid w:val="009A099A"/>
    <w:rsid w:val="009A14F6"/>
    <w:rsid w:val="009A3226"/>
    <w:rsid w:val="009A46F4"/>
    <w:rsid w:val="009A5195"/>
    <w:rsid w:val="009A5E2C"/>
    <w:rsid w:val="009A6EA0"/>
    <w:rsid w:val="009B452F"/>
    <w:rsid w:val="009B4B42"/>
    <w:rsid w:val="009C2718"/>
    <w:rsid w:val="009C405A"/>
    <w:rsid w:val="009C5DB6"/>
    <w:rsid w:val="009C7679"/>
    <w:rsid w:val="009D03F5"/>
    <w:rsid w:val="009D05B5"/>
    <w:rsid w:val="009D0C9C"/>
    <w:rsid w:val="009D0DA5"/>
    <w:rsid w:val="009D3470"/>
    <w:rsid w:val="009D3900"/>
    <w:rsid w:val="009D439B"/>
    <w:rsid w:val="009D5520"/>
    <w:rsid w:val="009D6FA0"/>
    <w:rsid w:val="009E0E15"/>
    <w:rsid w:val="009E137C"/>
    <w:rsid w:val="009E17B0"/>
    <w:rsid w:val="009E200E"/>
    <w:rsid w:val="009E2F38"/>
    <w:rsid w:val="009E3E1C"/>
    <w:rsid w:val="009E5A8D"/>
    <w:rsid w:val="009F0BA6"/>
    <w:rsid w:val="009F14EF"/>
    <w:rsid w:val="009F36DB"/>
    <w:rsid w:val="009F38A5"/>
    <w:rsid w:val="009F5BEA"/>
    <w:rsid w:val="009F70EF"/>
    <w:rsid w:val="009F7987"/>
    <w:rsid w:val="009F7AA3"/>
    <w:rsid w:val="009F7B1C"/>
    <w:rsid w:val="00A015D8"/>
    <w:rsid w:val="00A04165"/>
    <w:rsid w:val="00A0481F"/>
    <w:rsid w:val="00A04BCC"/>
    <w:rsid w:val="00A04D41"/>
    <w:rsid w:val="00A04E7B"/>
    <w:rsid w:val="00A12CB7"/>
    <w:rsid w:val="00A14F48"/>
    <w:rsid w:val="00A21D31"/>
    <w:rsid w:val="00A2210C"/>
    <w:rsid w:val="00A268F5"/>
    <w:rsid w:val="00A271CA"/>
    <w:rsid w:val="00A27B27"/>
    <w:rsid w:val="00A27BC7"/>
    <w:rsid w:val="00A33CF9"/>
    <w:rsid w:val="00A36A15"/>
    <w:rsid w:val="00A4083E"/>
    <w:rsid w:val="00A414FB"/>
    <w:rsid w:val="00A429F5"/>
    <w:rsid w:val="00A4300A"/>
    <w:rsid w:val="00A44D87"/>
    <w:rsid w:val="00A45A9E"/>
    <w:rsid w:val="00A474BB"/>
    <w:rsid w:val="00A479C7"/>
    <w:rsid w:val="00A51915"/>
    <w:rsid w:val="00A6139E"/>
    <w:rsid w:val="00A61606"/>
    <w:rsid w:val="00A642FE"/>
    <w:rsid w:val="00A6437B"/>
    <w:rsid w:val="00A64AD6"/>
    <w:rsid w:val="00A64FE7"/>
    <w:rsid w:val="00A65AA4"/>
    <w:rsid w:val="00A662BD"/>
    <w:rsid w:val="00A67CC7"/>
    <w:rsid w:val="00A70775"/>
    <w:rsid w:val="00A70980"/>
    <w:rsid w:val="00A70C0C"/>
    <w:rsid w:val="00A7249D"/>
    <w:rsid w:val="00A73020"/>
    <w:rsid w:val="00A752D2"/>
    <w:rsid w:val="00A76DA4"/>
    <w:rsid w:val="00A77DE1"/>
    <w:rsid w:val="00A80B6C"/>
    <w:rsid w:val="00A80F71"/>
    <w:rsid w:val="00A81259"/>
    <w:rsid w:val="00A82430"/>
    <w:rsid w:val="00A82D94"/>
    <w:rsid w:val="00A83044"/>
    <w:rsid w:val="00A8481E"/>
    <w:rsid w:val="00A8608D"/>
    <w:rsid w:val="00A86215"/>
    <w:rsid w:val="00A86FA3"/>
    <w:rsid w:val="00A87674"/>
    <w:rsid w:val="00A90181"/>
    <w:rsid w:val="00A909C1"/>
    <w:rsid w:val="00A9264C"/>
    <w:rsid w:val="00A92851"/>
    <w:rsid w:val="00A94350"/>
    <w:rsid w:val="00A95CDC"/>
    <w:rsid w:val="00A95EFA"/>
    <w:rsid w:val="00A96313"/>
    <w:rsid w:val="00AA02C8"/>
    <w:rsid w:val="00AA11A9"/>
    <w:rsid w:val="00AA1342"/>
    <w:rsid w:val="00AA39CB"/>
    <w:rsid w:val="00AA3E0B"/>
    <w:rsid w:val="00AA45E5"/>
    <w:rsid w:val="00AA5303"/>
    <w:rsid w:val="00AA6207"/>
    <w:rsid w:val="00AB79E8"/>
    <w:rsid w:val="00AC0F89"/>
    <w:rsid w:val="00AC1370"/>
    <w:rsid w:val="00AC5E2A"/>
    <w:rsid w:val="00AC6B29"/>
    <w:rsid w:val="00AC6DE7"/>
    <w:rsid w:val="00AD038D"/>
    <w:rsid w:val="00AD1105"/>
    <w:rsid w:val="00AD37CE"/>
    <w:rsid w:val="00AD5E9B"/>
    <w:rsid w:val="00AD5F85"/>
    <w:rsid w:val="00AD6145"/>
    <w:rsid w:val="00AD61DA"/>
    <w:rsid w:val="00AD6FBC"/>
    <w:rsid w:val="00AD70B5"/>
    <w:rsid w:val="00AE01F5"/>
    <w:rsid w:val="00AE48A9"/>
    <w:rsid w:val="00AE5FB1"/>
    <w:rsid w:val="00AE6ED3"/>
    <w:rsid w:val="00AF0131"/>
    <w:rsid w:val="00AF03B6"/>
    <w:rsid w:val="00AF10D6"/>
    <w:rsid w:val="00AF1731"/>
    <w:rsid w:val="00AF1BA2"/>
    <w:rsid w:val="00AF369B"/>
    <w:rsid w:val="00AF565D"/>
    <w:rsid w:val="00B00C7D"/>
    <w:rsid w:val="00B01AB0"/>
    <w:rsid w:val="00B01AF7"/>
    <w:rsid w:val="00B029E3"/>
    <w:rsid w:val="00B0378C"/>
    <w:rsid w:val="00B037B9"/>
    <w:rsid w:val="00B04E4E"/>
    <w:rsid w:val="00B07646"/>
    <w:rsid w:val="00B10A16"/>
    <w:rsid w:val="00B144DC"/>
    <w:rsid w:val="00B1536D"/>
    <w:rsid w:val="00B16D14"/>
    <w:rsid w:val="00B16FE3"/>
    <w:rsid w:val="00B202CA"/>
    <w:rsid w:val="00B22D06"/>
    <w:rsid w:val="00B22DD1"/>
    <w:rsid w:val="00B252AF"/>
    <w:rsid w:val="00B2594A"/>
    <w:rsid w:val="00B277FA"/>
    <w:rsid w:val="00B27C2A"/>
    <w:rsid w:val="00B30517"/>
    <w:rsid w:val="00B327C5"/>
    <w:rsid w:val="00B32CAA"/>
    <w:rsid w:val="00B33A59"/>
    <w:rsid w:val="00B340A6"/>
    <w:rsid w:val="00B35340"/>
    <w:rsid w:val="00B36DCB"/>
    <w:rsid w:val="00B37326"/>
    <w:rsid w:val="00B376CB"/>
    <w:rsid w:val="00B4126B"/>
    <w:rsid w:val="00B45ED1"/>
    <w:rsid w:val="00B4679E"/>
    <w:rsid w:val="00B47238"/>
    <w:rsid w:val="00B50543"/>
    <w:rsid w:val="00B506B4"/>
    <w:rsid w:val="00B53BB5"/>
    <w:rsid w:val="00B54AB5"/>
    <w:rsid w:val="00B57B04"/>
    <w:rsid w:val="00B57D95"/>
    <w:rsid w:val="00B61059"/>
    <w:rsid w:val="00B65283"/>
    <w:rsid w:val="00B653D9"/>
    <w:rsid w:val="00B66B60"/>
    <w:rsid w:val="00B67E32"/>
    <w:rsid w:val="00B67FEE"/>
    <w:rsid w:val="00B73C9D"/>
    <w:rsid w:val="00B74918"/>
    <w:rsid w:val="00B74F90"/>
    <w:rsid w:val="00B75567"/>
    <w:rsid w:val="00B776CD"/>
    <w:rsid w:val="00B80130"/>
    <w:rsid w:val="00B8119E"/>
    <w:rsid w:val="00B81393"/>
    <w:rsid w:val="00B8214C"/>
    <w:rsid w:val="00B842F7"/>
    <w:rsid w:val="00B851B1"/>
    <w:rsid w:val="00B85D52"/>
    <w:rsid w:val="00B862E6"/>
    <w:rsid w:val="00B87A34"/>
    <w:rsid w:val="00B922AD"/>
    <w:rsid w:val="00B92BE5"/>
    <w:rsid w:val="00B96CCA"/>
    <w:rsid w:val="00BA068C"/>
    <w:rsid w:val="00BA279E"/>
    <w:rsid w:val="00BA397D"/>
    <w:rsid w:val="00BA4EA2"/>
    <w:rsid w:val="00BA5CFE"/>
    <w:rsid w:val="00BA79F6"/>
    <w:rsid w:val="00BB3882"/>
    <w:rsid w:val="00BB3C7B"/>
    <w:rsid w:val="00BB41A5"/>
    <w:rsid w:val="00BB4BAF"/>
    <w:rsid w:val="00BB60CD"/>
    <w:rsid w:val="00BB661A"/>
    <w:rsid w:val="00BB7B5C"/>
    <w:rsid w:val="00BC3062"/>
    <w:rsid w:val="00BC32DC"/>
    <w:rsid w:val="00BC410F"/>
    <w:rsid w:val="00BC720D"/>
    <w:rsid w:val="00BC72C8"/>
    <w:rsid w:val="00BD1A8D"/>
    <w:rsid w:val="00BD239E"/>
    <w:rsid w:val="00BD414F"/>
    <w:rsid w:val="00BD4EDA"/>
    <w:rsid w:val="00BD5FFE"/>
    <w:rsid w:val="00BD606D"/>
    <w:rsid w:val="00BD620D"/>
    <w:rsid w:val="00BE015A"/>
    <w:rsid w:val="00BE2A84"/>
    <w:rsid w:val="00BE2BC7"/>
    <w:rsid w:val="00BE33F7"/>
    <w:rsid w:val="00BE422F"/>
    <w:rsid w:val="00BE46E6"/>
    <w:rsid w:val="00BE673F"/>
    <w:rsid w:val="00BE6E43"/>
    <w:rsid w:val="00BF0215"/>
    <w:rsid w:val="00BF1FB4"/>
    <w:rsid w:val="00BF2419"/>
    <w:rsid w:val="00BF3386"/>
    <w:rsid w:val="00BF4240"/>
    <w:rsid w:val="00BF5CAD"/>
    <w:rsid w:val="00BF7353"/>
    <w:rsid w:val="00C00CC0"/>
    <w:rsid w:val="00C01671"/>
    <w:rsid w:val="00C02D7B"/>
    <w:rsid w:val="00C02E1F"/>
    <w:rsid w:val="00C033E2"/>
    <w:rsid w:val="00C03C07"/>
    <w:rsid w:val="00C07F71"/>
    <w:rsid w:val="00C11D8D"/>
    <w:rsid w:val="00C14925"/>
    <w:rsid w:val="00C16821"/>
    <w:rsid w:val="00C20742"/>
    <w:rsid w:val="00C22F69"/>
    <w:rsid w:val="00C234E5"/>
    <w:rsid w:val="00C2382D"/>
    <w:rsid w:val="00C23AE2"/>
    <w:rsid w:val="00C24912"/>
    <w:rsid w:val="00C269A8"/>
    <w:rsid w:val="00C3094B"/>
    <w:rsid w:val="00C310DC"/>
    <w:rsid w:val="00C31CD4"/>
    <w:rsid w:val="00C323D4"/>
    <w:rsid w:val="00C342EA"/>
    <w:rsid w:val="00C34D68"/>
    <w:rsid w:val="00C351D7"/>
    <w:rsid w:val="00C35289"/>
    <w:rsid w:val="00C358A6"/>
    <w:rsid w:val="00C409A1"/>
    <w:rsid w:val="00C44633"/>
    <w:rsid w:val="00C446FC"/>
    <w:rsid w:val="00C5008B"/>
    <w:rsid w:val="00C50FE0"/>
    <w:rsid w:val="00C55D92"/>
    <w:rsid w:val="00C56B08"/>
    <w:rsid w:val="00C60208"/>
    <w:rsid w:val="00C61E70"/>
    <w:rsid w:val="00C6229A"/>
    <w:rsid w:val="00C62636"/>
    <w:rsid w:val="00C62F6E"/>
    <w:rsid w:val="00C63DD5"/>
    <w:rsid w:val="00C64037"/>
    <w:rsid w:val="00C65E8C"/>
    <w:rsid w:val="00C72237"/>
    <w:rsid w:val="00C75301"/>
    <w:rsid w:val="00C769D3"/>
    <w:rsid w:val="00C76A8C"/>
    <w:rsid w:val="00C80442"/>
    <w:rsid w:val="00C807DC"/>
    <w:rsid w:val="00C82311"/>
    <w:rsid w:val="00C83D3C"/>
    <w:rsid w:val="00C84D0E"/>
    <w:rsid w:val="00C86938"/>
    <w:rsid w:val="00C86ACA"/>
    <w:rsid w:val="00C961B4"/>
    <w:rsid w:val="00C976F6"/>
    <w:rsid w:val="00C97858"/>
    <w:rsid w:val="00CA1F0A"/>
    <w:rsid w:val="00CA32A2"/>
    <w:rsid w:val="00CA53EE"/>
    <w:rsid w:val="00CA55ED"/>
    <w:rsid w:val="00CA6FDC"/>
    <w:rsid w:val="00CA7AB3"/>
    <w:rsid w:val="00CB048F"/>
    <w:rsid w:val="00CB1109"/>
    <w:rsid w:val="00CB1A1F"/>
    <w:rsid w:val="00CB36CC"/>
    <w:rsid w:val="00CB3BB3"/>
    <w:rsid w:val="00CB5624"/>
    <w:rsid w:val="00CB780F"/>
    <w:rsid w:val="00CB7E82"/>
    <w:rsid w:val="00CC09D9"/>
    <w:rsid w:val="00CC105E"/>
    <w:rsid w:val="00CC2E56"/>
    <w:rsid w:val="00CC64AA"/>
    <w:rsid w:val="00CC6D44"/>
    <w:rsid w:val="00CD146E"/>
    <w:rsid w:val="00CD17D6"/>
    <w:rsid w:val="00CD1D6C"/>
    <w:rsid w:val="00CD22AF"/>
    <w:rsid w:val="00CD3DC1"/>
    <w:rsid w:val="00CE1903"/>
    <w:rsid w:val="00CE21B1"/>
    <w:rsid w:val="00CE3825"/>
    <w:rsid w:val="00CE3B3C"/>
    <w:rsid w:val="00CE526A"/>
    <w:rsid w:val="00CE6C0D"/>
    <w:rsid w:val="00CE73B3"/>
    <w:rsid w:val="00CE7F04"/>
    <w:rsid w:val="00CF1F6B"/>
    <w:rsid w:val="00CF26C8"/>
    <w:rsid w:val="00CF367B"/>
    <w:rsid w:val="00CF380B"/>
    <w:rsid w:val="00CF6A1D"/>
    <w:rsid w:val="00D01CA3"/>
    <w:rsid w:val="00D11464"/>
    <w:rsid w:val="00D11C58"/>
    <w:rsid w:val="00D13E80"/>
    <w:rsid w:val="00D14463"/>
    <w:rsid w:val="00D15DED"/>
    <w:rsid w:val="00D2006C"/>
    <w:rsid w:val="00D2028D"/>
    <w:rsid w:val="00D20F01"/>
    <w:rsid w:val="00D2207B"/>
    <w:rsid w:val="00D2229F"/>
    <w:rsid w:val="00D22456"/>
    <w:rsid w:val="00D22EF8"/>
    <w:rsid w:val="00D23ED6"/>
    <w:rsid w:val="00D25516"/>
    <w:rsid w:val="00D255FF"/>
    <w:rsid w:val="00D307C0"/>
    <w:rsid w:val="00D30C30"/>
    <w:rsid w:val="00D331FE"/>
    <w:rsid w:val="00D34CD5"/>
    <w:rsid w:val="00D35911"/>
    <w:rsid w:val="00D359BF"/>
    <w:rsid w:val="00D4019D"/>
    <w:rsid w:val="00D40232"/>
    <w:rsid w:val="00D402EA"/>
    <w:rsid w:val="00D404D1"/>
    <w:rsid w:val="00D42F67"/>
    <w:rsid w:val="00D43269"/>
    <w:rsid w:val="00D47B8E"/>
    <w:rsid w:val="00D47D19"/>
    <w:rsid w:val="00D47F3B"/>
    <w:rsid w:val="00D513DD"/>
    <w:rsid w:val="00D51823"/>
    <w:rsid w:val="00D519A2"/>
    <w:rsid w:val="00D53658"/>
    <w:rsid w:val="00D53B07"/>
    <w:rsid w:val="00D547FF"/>
    <w:rsid w:val="00D55626"/>
    <w:rsid w:val="00D6046B"/>
    <w:rsid w:val="00D60E85"/>
    <w:rsid w:val="00D6419D"/>
    <w:rsid w:val="00D66B63"/>
    <w:rsid w:val="00D70EB6"/>
    <w:rsid w:val="00D728A0"/>
    <w:rsid w:val="00D73EA2"/>
    <w:rsid w:val="00D74C72"/>
    <w:rsid w:val="00D77A09"/>
    <w:rsid w:val="00D82891"/>
    <w:rsid w:val="00D8374A"/>
    <w:rsid w:val="00D83BEE"/>
    <w:rsid w:val="00D83E6C"/>
    <w:rsid w:val="00D8476F"/>
    <w:rsid w:val="00D84D67"/>
    <w:rsid w:val="00D8633C"/>
    <w:rsid w:val="00D86A06"/>
    <w:rsid w:val="00D86DA4"/>
    <w:rsid w:val="00D92804"/>
    <w:rsid w:val="00D92E49"/>
    <w:rsid w:val="00D932A7"/>
    <w:rsid w:val="00D93F23"/>
    <w:rsid w:val="00D95796"/>
    <w:rsid w:val="00D96BE9"/>
    <w:rsid w:val="00D97CA0"/>
    <w:rsid w:val="00DA123F"/>
    <w:rsid w:val="00DA321C"/>
    <w:rsid w:val="00DA3B4B"/>
    <w:rsid w:val="00DA3CB6"/>
    <w:rsid w:val="00DA4CCF"/>
    <w:rsid w:val="00DA67A1"/>
    <w:rsid w:val="00DA6A50"/>
    <w:rsid w:val="00DA6F6A"/>
    <w:rsid w:val="00DA7702"/>
    <w:rsid w:val="00DA7CEB"/>
    <w:rsid w:val="00DB0E46"/>
    <w:rsid w:val="00DB28EA"/>
    <w:rsid w:val="00DB405F"/>
    <w:rsid w:val="00DB626B"/>
    <w:rsid w:val="00DC1688"/>
    <w:rsid w:val="00DC1C56"/>
    <w:rsid w:val="00DC3EEC"/>
    <w:rsid w:val="00DC5C74"/>
    <w:rsid w:val="00DC5DE7"/>
    <w:rsid w:val="00DC6E89"/>
    <w:rsid w:val="00DC7C91"/>
    <w:rsid w:val="00DC7F55"/>
    <w:rsid w:val="00DD41D7"/>
    <w:rsid w:val="00DD728F"/>
    <w:rsid w:val="00DD7F09"/>
    <w:rsid w:val="00DE422E"/>
    <w:rsid w:val="00DE5D97"/>
    <w:rsid w:val="00DF380A"/>
    <w:rsid w:val="00DF4202"/>
    <w:rsid w:val="00DF53CD"/>
    <w:rsid w:val="00DF5645"/>
    <w:rsid w:val="00DF5C92"/>
    <w:rsid w:val="00DF5D58"/>
    <w:rsid w:val="00DF6BC7"/>
    <w:rsid w:val="00E029C7"/>
    <w:rsid w:val="00E0417F"/>
    <w:rsid w:val="00E0639D"/>
    <w:rsid w:val="00E10145"/>
    <w:rsid w:val="00E1196A"/>
    <w:rsid w:val="00E11E54"/>
    <w:rsid w:val="00E12A46"/>
    <w:rsid w:val="00E135B4"/>
    <w:rsid w:val="00E13A02"/>
    <w:rsid w:val="00E156ED"/>
    <w:rsid w:val="00E15B6D"/>
    <w:rsid w:val="00E223A4"/>
    <w:rsid w:val="00E24D2A"/>
    <w:rsid w:val="00E25E2B"/>
    <w:rsid w:val="00E26528"/>
    <w:rsid w:val="00E275AE"/>
    <w:rsid w:val="00E27F53"/>
    <w:rsid w:val="00E3182C"/>
    <w:rsid w:val="00E31F21"/>
    <w:rsid w:val="00E32EAD"/>
    <w:rsid w:val="00E36F35"/>
    <w:rsid w:val="00E370CE"/>
    <w:rsid w:val="00E403D1"/>
    <w:rsid w:val="00E42A3F"/>
    <w:rsid w:val="00E43C0B"/>
    <w:rsid w:val="00E44843"/>
    <w:rsid w:val="00E456B1"/>
    <w:rsid w:val="00E461D2"/>
    <w:rsid w:val="00E4797C"/>
    <w:rsid w:val="00E5087D"/>
    <w:rsid w:val="00E509C9"/>
    <w:rsid w:val="00E50A72"/>
    <w:rsid w:val="00E51E4A"/>
    <w:rsid w:val="00E52D71"/>
    <w:rsid w:val="00E56501"/>
    <w:rsid w:val="00E616AF"/>
    <w:rsid w:val="00E63A0F"/>
    <w:rsid w:val="00E67033"/>
    <w:rsid w:val="00E67152"/>
    <w:rsid w:val="00E71131"/>
    <w:rsid w:val="00E718EB"/>
    <w:rsid w:val="00E71C19"/>
    <w:rsid w:val="00E72E98"/>
    <w:rsid w:val="00E74E0C"/>
    <w:rsid w:val="00E754C4"/>
    <w:rsid w:val="00E754C9"/>
    <w:rsid w:val="00E76220"/>
    <w:rsid w:val="00E7735E"/>
    <w:rsid w:val="00E77727"/>
    <w:rsid w:val="00E8026A"/>
    <w:rsid w:val="00E8216C"/>
    <w:rsid w:val="00E851D2"/>
    <w:rsid w:val="00E90C27"/>
    <w:rsid w:val="00E90C45"/>
    <w:rsid w:val="00E91B79"/>
    <w:rsid w:val="00E9306A"/>
    <w:rsid w:val="00E9384E"/>
    <w:rsid w:val="00E94C37"/>
    <w:rsid w:val="00E96C9C"/>
    <w:rsid w:val="00E971D0"/>
    <w:rsid w:val="00EA143C"/>
    <w:rsid w:val="00EA3143"/>
    <w:rsid w:val="00EA34FE"/>
    <w:rsid w:val="00EA52AB"/>
    <w:rsid w:val="00EA5A20"/>
    <w:rsid w:val="00EA6414"/>
    <w:rsid w:val="00EA75C3"/>
    <w:rsid w:val="00EB0402"/>
    <w:rsid w:val="00EB0F65"/>
    <w:rsid w:val="00EB1784"/>
    <w:rsid w:val="00EB76D8"/>
    <w:rsid w:val="00EC125B"/>
    <w:rsid w:val="00EC2E9B"/>
    <w:rsid w:val="00EC648E"/>
    <w:rsid w:val="00EC6AF6"/>
    <w:rsid w:val="00EC7652"/>
    <w:rsid w:val="00ED1123"/>
    <w:rsid w:val="00ED26E4"/>
    <w:rsid w:val="00ED364B"/>
    <w:rsid w:val="00ED3AD8"/>
    <w:rsid w:val="00ED41B8"/>
    <w:rsid w:val="00ED75F7"/>
    <w:rsid w:val="00EE3861"/>
    <w:rsid w:val="00EE3CF8"/>
    <w:rsid w:val="00EE60C9"/>
    <w:rsid w:val="00EE6E7D"/>
    <w:rsid w:val="00EE7B6E"/>
    <w:rsid w:val="00EF1445"/>
    <w:rsid w:val="00EF2266"/>
    <w:rsid w:val="00EF47AA"/>
    <w:rsid w:val="00EF60DD"/>
    <w:rsid w:val="00EF6EBA"/>
    <w:rsid w:val="00EF7E21"/>
    <w:rsid w:val="00F0196B"/>
    <w:rsid w:val="00F03C76"/>
    <w:rsid w:val="00F042D0"/>
    <w:rsid w:val="00F0598E"/>
    <w:rsid w:val="00F13B98"/>
    <w:rsid w:val="00F14FB6"/>
    <w:rsid w:val="00F15A74"/>
    <w:rsid w:val="00F2400C"/>
    <w:rsid w:val="00F26B9E"/>
    <w:rsid w:val="00F30579"/>
    <w:rsid w:val="00F31D95"/>
    <w:rsid w:val="00F33566"/>
    <w:rsid w:val="00F34C22"/>
    <w:rsid w:val="00F35EED"/>
    <w:rsid w:val="00F361F9"/>
    <w:rsid w:val="00F4535C"/>
    <w:rsid w:val="00F45E7C"/>
    <w:rsid w:val="00F464C3"/>
    <w:rsid w:val="00F47A10"/>
    <w:rsid w:val="00F52934"/>
    <w:rsid w:val="00F556AE"/>
    <w:rsid w:val="00F55A57"/>
    <w:rsid w:val="00F57125"/>
    <w:rsid w:val="00F5764A"/>
    <w:rsid w:val="00F57F30"/>
    <w:rsid w:val="00F61374"/>
    <w:rsid w:val="00F61BEA"/>
    <w:rsid w:val="00F62F12"/>
    <w:rsid w:val="00F647E5"/>
    <w:rsid w:val="00F65DD7"/>
    <w:rsid w:val="00F6681D"/>
    <w:rsid w:val="00F70B65"/>
    <w:rsid w:val="00F71804"/>
    <w:rsid w:val="00F72FB0"/>
    <w:rsid w:val="00F810D1"/>
    <w:rsid w:val="00F836EE"/>
    <w:rsid w:val="00F837CC"/>
    <w:rsid w:val="00F83CE6"/>
    <w:rsid w:val="00F86355"/>
    <w:rsid w:val="00F87DF2"/>
    <w:rsid w:val="00F922B1"/>
    <w:rsid w:val="00F94353"/>
    <w:rsid w:val="00F9436D"/>
    <w:rsid w:val="00F9521A"/>
    <w:rsid w:val="00F95BCE"/>
    <w:rsid w:val="00F97E10"/>
    <w:rsid w:val="00FA1E5E"/>
    <w:rsid w:val="00FA30EC"/>
    <w:rsid w:val="00FA4C92"/>
    <w:rsid w:val="00FA5C1A"/>
    <w:rsid w:val="00FA71ED"/>
    <w:rsid w:val="00FB358D"/>
    <w:rsid w:val="00FB37C9"/>
    <w:rsid w:val="00FB66FF"/>
    <w:rsid w:val="00FB67B5"/>
    <w:rsid w:val="00FB7DFC"/>
    <w:rsid w:val="00FC266F"/>
    <w:rsid w:val="00FC3008"/>
    <w:rsid w:val="00FC44C8"/>
    <w:rsid w:val="00FC5448"/>
    <w:rsid w:val="00FC62AC"/>
    <w:rsid w:val="00FC7C29"/>
    <w:rsid w:val="00FD34BB"/>
    <w:rsid w:val="00FD6330"/>
    <w:rsid w:val="00FD770B"/>
    <w:rsid w:val="00FE245D"/>
    <w:rsid w:val="00FE440D"/>
    <w:rsid w:val="00FE4BE1"/>
    <w:rsid w:val="00FE4C46"/>
    <w:rsid w:val="00FF03CC"/>
    <w:rsid w:val="00FF1E52"/>
    <w:rsid w:val="00FF1F4D"/>
    <w:rsid w:val="00FF1FDF"/>
    <w:rsid w:val="00FF222C"/>
    <w:rsid w:val="00FF3BEF"/>
    <w:rsid w:val="00FF5043"/>
    <w:rsid w:val="00FF5DF7"/>
    <w:rsid w:val="00FF6885"/>
    <w:rsid w:val="00FF6B61"/>
    <w:rsid w:val="00FF6F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0CC3B9B5"/>
  <w15:docId w15:val="{79B9FB05-5FC7-46F0-B5C2-5227F5B71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E754C4"/>
  </w:style>
  <w:style w:type="paragraph" w:styleId="Heading1">
    <w:name w:val="heading 1"/>
    <w:basedOn w:val="Normal"/>
    <w:uiPriority w:val="1"/>
    <w:qFormat/>
    <w:rsid w:val="00E754C4"/>
    <w:pPr>
      <w:spacing w:before="4"/>
      <w:ind w:left="1076"/>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E754C4"/>
    <w:pPr>
      <w:ind w:left="1076" w:firstLine="720"/>
    </w:pPr>
    <w:rPr>
      <w:rFonts w:ascii="Times New Roman" w:eastAsia="Times New Roman" w:hAnsi="Times New Roman"/>
    </w:rPr>
  </w:style>
  <w:style w:type="paragraph" w:styleId="ListParagraph">
    <w:name w:val="List Paragraph"/>
    <w:basedOn w:val="Normal"/>
    <w:uiPriority w:val="1"/>
    <w:qFormat/>
    <w:rsid w:val="00E754C4"/>
  </w:style>
  <w:style w:type="paragraph" w:customStyle="1" w:styleId="TableParagraph">
    <w:name w:val="Table Paragraph"/>
    <w:basedOn w:val="Normal"/>
    <w:uiPriority w:val="1"/>
    <w:qFormat/>
    <w:rsid w:val="00E754C4"/>
  </w:style>
  <w:style w:type="paragraph" w:styleId="BalloonText">
    <w:name w:val="Balloon Text"/>
    <w:basedOn w:val="Normal"/>
    <w:link w:val="BalloonTextChar"/>
    <w:uiPriority w:val="99"/>
    <w:semiHidden/>
    <w:unhideWhenUsed/>
    <w:rsid w:val="00A4083E"/>
    <w:rPr>
      <w:rFonts w:ascii="Tahoma" w:hAnsi="Tahoma" w:cs="Tahoma"/>
      <w:sz w:val="16"/>
      <w:szCs w:val="16"/>
    </w:rPr>
  </w:style>
  <w:style w:type="character" w:customStyle="1" w:styleId="BalloonTextChar">
    <w:name w:val="Balloon Text Char"/>
    <w:basedOn w:val="DefaultParagraphFont"/>
    <w:link w:val="BalloonText"/>
    <w:uiPriority w:val="99"/>
    <w:semiHidden/>
    <w:rsid w:val="00A4083E"/>
    <w:rPr>
      <w:rFonts w:ascii="Tahoma" w:hAnsi="Tahoma" w:cs="Tahoma"/>
      <w:sz w:val="16"/>
      <w:szCs w:val="16"/>
    </w:rPr>
  </w:style>
  <w:style w:type="paragraph" w:styleId="NoSpacing">
    <w:name w:val="No Spacing"/>
    <w:uiPriority w:val="1"/>
    <w:qFormat/>
    <w:rsid w:val="00F57F30"/>
    <w:pPr>
      <w:widowControl/>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E12A46"/>
    <w:rPr>
      <w:sz w:val="16"/>
      <w:szCs w:val="16"/>
    </w:rPr>
  </w:style>
  <w:style w:type="paragraph" w:styleId="CommentText">
    <w:name w:val="annotation text"/>
    <w:basedOn w:val="Normal"/>
    <w:link w:val="CommentTextChar"/>
    <w:uiPriority w:val="99"/>
    <w:unhideWhenUsed/>
    <w:rsid w:val="00E12A46"/>
    <w:rPr>
      <w:sz w:val="20"/>
      <w:szCs w:val="20"/>
    </w:rPr>
  </w:style>
  <w:style w:type="character" w:customStyle="1" w:styleId="CommentTextChar">
    <w:name w:val="Comment Text Char"/>
    <w:basedOn w:val="DefaultParagraphFont"/>
    <w:link w:val="CommentText"/>
    <w:uiPriority w:val="99"/>
    <w:rsid w:val="00E12A46"/>
    <w:rPr>
      <w:sz w:val="20"/>
      <w:szCs w:val="20"/>
    </w:rPr>
  </w:style>
  <w:style w:type="paragraph" w:styleId="CommentSubject">
    <w:name w:val="annotation subject"/>
    <w:basedOn w:val="CommentText"/>
    <w:next w:val="CommentText"/>
    <w:link w:val="CommentSubjectChar"/>
    <w:uiPriority w:val="99"/>
    <w:semiHidden/>
    <w:unhideWhenUsed/>
    <w:rsid w:val="00E12A46"/>
    <w:rPr>
      <w:b/>
      <w:bCs/>
    </w:rPr>
  </w:style>
  <w:style w:type="character" w:customStyle="1" w:styleId="CommentSubjectChar">
    <w:name w:val="Comment Subject Char"/>
    <w:basedOn w:val="CommentTextChar"/>
    <w:link w:val="CommentSubject"/>
    <w:uiPriority w:val="99"/>
    <w:semiHidden/>
    <w:rsid w:val="00E12A46"/>
    <w:rPr>
      <w:b/>
      <w:bCs/>
      <w:sz w:val="20"/>
      <w:szCs w:val="20"/>
    </w:rPr>
  </w:style>
  <w:style w:type="paragraph" w:styleId="Revision">
    <w:name w:val="Revision"/>
    <w:hidden/>
    <w:uiPriority w:val="99"/>
    <w:semiHidden/>
    <w:rsid w:val="00A94350"/>
    <w:pPr>
      <w:widowControl/>
    </w:pPr>
  </w:style>
  <w:style w:type="paragraph" w:customStyle="1" w:styleId="Default">
    <w:name w:val="Default"/>
    <w:rsid w:val="00412F14"/>
    <w:pPr>
      <w:widowControl/>
      <w:autoSpaceDE w:val="0"/>
      <w:autoSpaceDN w:val="0"/>
      <w:adjustRightInd w:val="0"/>
    </w:pPr>
    <w:rPr>
      <w:rFonts w:ascii="Times New Roman" w:hAnsi="Times New Roman" w:cs="Times New Roman"/>
      <w:color w:val="000000"/>
      <w:sz w:val="24"/>
      <w:szCs w:val="24"/>
    </w:rPr>
  </w:style>
  <w:style w:type="character" w:styleId="Hyperlink">
    <w:name w:val="Hyperlink"/>
    <w:basedOn w:val="DefaultParagraphFont"/>
    <w:uiPriority w:val="99"/>
    <w:unhideWhenUsed/>
    <w:rsid w:val="009209D6"/>
    <w:rPr>
      <w:color w:val="0000FF" w:themeColor="hyperlink"/>
      <w:u w:val="single"/>
    </w:rPr>
  </w:style>
  <w:style w:type="character" w:styleId="FollowedHyperlink">
    <w:name w:val="FollowedHyperlink"/>
    <w:basedOn w:val="DefaultParagraphFont"/>
    <w:uiPriority w:val="99"/>
    <w:semiHidden/>
    <w:unhideWhenUsed/>
    <w:rsid w:val="009209D6"/>
    <w:rPr>
      <w:color w:val="800080" w:themeColor="followedHyperlink"/>
      <w:u w:val="single"/>
    </w:rPr>
  </w:style>
  <w:style w:type="character" w:customStyle="1" w:styleId="BodyTextChar">
    <w:name w:val="Body Text Char"/>
    <w:basedOn w:val="DefaultParagraphFont"/>
    <w:link w:val="BodyText"/>
    <w:uiPriority w:val="1"/>
    <w:rsid w:val="00B851B1"/>
    <w:rPr>
      <w:rFonts w:ascii="Times New Roman" w:eastAsia="Times New Roman" w:hAnsi="Times New Roman"/>
    </w:rPr>
  </w:style>
  <w:style w:type="paragraph" w:styleId="Header">
    <w:name w:val="header"/>
    <w:basedOn w:val="Normal"/>
    <w:link w:val="HeaderChar"/>
    <w:uiPriority w:val="99"/>
    <w:unhideWhenUsed/>
    <w:rsid w:val="00A82430"/>
    <w:pPr>
      <w:tabs>
        <w:tab w:val="center" w:pos="4680"/>
        <w:tab w:val="right" w:pos="9360"/>
      </w:tabs>
    </w:pPr>
  </w:style>
  <w:style w:type="character" w:customStyle="1" w:styleId="HeaderChar">
    <w:name w:val="Header Char"/>
    <w:basedOn w:val="DefaultParagraphFont"/>
    <w:link w:val="Header"/>
    <w:uiPriority w:val="99"/>
    <w:rsid w:val="00A82430"/>
  </w:style>
  <w:style w:type="paragraph" w:styleId="Footer">
    <w:name w:val="footer"/>
    <w:basedOn w:val="Normal"/>
    <w:link w:val="FooterChar"/>
    <w:uiPriority w:val="99"/>
    <w:unhideWhenUsed/>
    <w:rsid w:val="00A82430"/>
    <w:pPr>
      <w:tabs>
        <w:tab w:val="center" w:pos="4680"/>
        <w:tab w:val="right" w:pos="9360"/>
      </w:tabs>
    </w:pPr>
  </w:style>
  <w:style w:type="character" w:customStyle="1" w:styleId="FooterChar">
    <w:name w:val="Footer Char"/>
    <w:basedOn w:val="DefaultParagraphFont"/>
    <w:link w:val="Footer"/>
    <w:uiPriority w:val="99"/>
    <w:rsid w:val="00A824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046839">
      <w:bodyDiv w:val="1"/>
      <w:marLeft w:val="0"/>
      <w:marRight w:val="0"/>
      <w:marTop w:val="0"/>
      <w:marBottom w:val="0"/>
      <w:divBdr>
        <w:top w:val="none" w:sz="0" w:space="0" w:color="auto"/>
        <w:left w:val="none" w:sz="0" w:space="0" w:color="auto"/>
        <w:bottom w:val="none" w:sz="0" w:space="0" w:color="auto"/>
        <w:right w:val="none" w:sz="0" w:space="0" w:color="auto"/>
      </w:divBdr>
    </w:div>
    <w:div w:id="249046749">
      <w:bodyDiv w:val="1"/>
      <w:marLeft w:val="0"/>
      <w:marRight w:val="0"/>
      <w:marTop w:val="0"/>
      <w:marBottom w:val="0"/>
      <w:divBdr>
        <w:top w:val="none" w:sz="0" w:space="0" w:color="auto"/>
        <w:left w:val="none" w:sz="0" w:space="0" w:color="auto"/>
        <w:bottom w:val="none" w:sz="0" w:space="0" w:color="auto"/>
        <w:right w:val="none" w:sz="0" w:space="0" w:color="auto"/>
      </w:divBdr>
    </w:div>
    <w:div w:id="947198795">
      <w:bodyDiv w:val="1"/>
      <w:marLeft w:val="0"/>
      <w:marRight w:val="0"/>
      <w:marTop w:val="0"/>
      <w:marBottom w:val="0"/>
      <w:divBdr>
        <w:top w:val="none" w:sz="0" w:space="0" w:color="auto"/>
        <w:left w:val="none" w:sz="0" w:space="0" w:color="auto"/>
        <w:bottom w:val="none" w:sz="0" w:space="0" w:color="auto"/>
        <w:right w:val="none" w:sz="0" w:space="0" w:color="auto"/>
      </w:divBdr>
    </w:div>
    <w:div w:id="1084642979">
      <w:bodyDiv w:val="1"/>
      <w:marLeft w:val="0"/>
      <w:marRight w:val="0"/>
      <w:marTop w:val="0"/>
      <w:marBottom w:val="0"/>
      <w:divBdr>
        <w:top w:val="none" w:sz="0" w:space="0" w:color="auto"/>
        <w:left w:val="none" w:sz="0" w:space="0" w:color="auto"/>
        <w:bottom w:val="none" w:sz="0" w:space="0" w:color="auto"/>
        <w:right w:val="none" w:sz="0" w:space="0" w:color="auto"/>
      </w:divBdr>
    </w:div>
    <w:div w:id="1203977928">
      <w:bodyDiv w:val="1"/>
      <w:marLeft w:val="0"/>
      <w:marRight w:val="0"/>
      <w:marTop w:val="0"/>
      <w:marBottom w:val="0"/>
      <w:divBdr>
        <w:top w:val="none" w:sz="0" w:space="0" w:color="auto"/>
        <w:left w:val="none" w:sz="0" w:space="0" w:color="auto"/>
        <w:bottom w:val="none" w:sz="0" w:space="0" w:color="auto"/>
        <w:right w:val="none" w:sz="0" w:space="0" w:color="auto"/>
      </w:divBdr>
    </w:div>
    <w:div w:id="1430731242">
      <w:bodyDiv w:val="1"/>
      <w:marLeft w:val="0"/>
      <w:marRight w:val="0"/>
      <w:marTop w:val="0"/>
      <w:marBottom w:val="0"/>
      <w:divBdr>
        <w:top w:val="none" w:sz="0" w:space="0" w:color="auto"/>
        <w:left w:val="none" w:sz="0" w:space="0" w:color="auto"/>
        <w:bottom w:val="none" w:sz="0" w:space="0" w:color="auto"/>
        <w:right w:val="none" w:sz="0" w:space="0" w:color="auto"/>
      </w:divBdr>
    </w:div>
    <w:div w:id="1458525711">
      <w:bodyDiv w:val="1"/>
      <w:marLeft w:val="0"/>
      <w:marRight w:val="0"/>
      <w:marTop w:val="0"/>
      <w:marBottom w:val="0"/>
      <w:divBdr>
        <w:top w:val="none" w:sz="0" w:space="0" w:color="auto"/>
        <w:left w:val="none" w:sz="0" w:space="0" w:color="auto"/>
        <w:bottom w:val="none" w:sz="0" w:space="0" w:color="auto"/>
        <w:right w:val="none" w:sz="0" w:space="0" w:color="auto"/>
      </w:divBdr>
    </w:div>
    <w:div w:id="1495335612">
      <w:bodyDiv w:val="1"/>
      <w:marLeft w:val="0"/>
      <w:marRight w:val="0"/>
      <w:marTop w:val="0"/>
      <w:marBottom w:val="0"/>
      <w:divBdr>
        <w:top w:val="none" w:sz="0" w:space="0" w:color="auto"/>
        <w:left w:val="none" w:sz="0" w:space="0" w:color="auto"/>
        <w:bottom w:val="none" w:sz="0" w:space="0" w:color="auto"/>
        <w:right w:val="none" w:sz="0" w:space="0" w:color="auto"/>
      </w:divBdr>
    </w:div>
    <w:div w:id="1723747375">
      <w:bodyDiv w:val="1"/>
      <w:marLeft w:val="0"/>
      <w:marRight w:val="0"/>
      <w:marTop w:val="0"/>
      <w:marBottom w:val="0"/>
      <w:divBdr>
        <w:top w:val="none" w:sz="0" w:space="0" w:color="auto"/>
        <w:left w:val="none" w:sz="0" w:space="0" w:color="auto"/>
        <w:bottom w:val="none" w:sz="0" w:space="0" w:color="auto"/>
        <w:right w:val="none" w:sz="0" w:space="0" w:color="auto"/>
      </w:divBdr>
    </w:div>
    <w:div w:id="1962614379">
      <w:bodyDiv w:val="1"/>
      <w:marLeft w:val="0"/>
      <w:marRight w:val="0"/>
      <w:marTop w:val="0"/>
      <w:marBottom w:val="0"/>
      <w:divBdr>
        <w:top w:val="none" w:sz="0" w:space="0" w:color="auto"/>
        <w:left w:val="none" w:sz="0" w:space="0" w:color="auto"/>
        <w:bottom w:val="none" w:sz="0" w:space="0" w:color="auto"/>
        <w:right w:val="none" w:sz="0" w:space="0" w:color="auto"/>
      </w:divBdr>
    </w:div>
    <w:div w:id="20514878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750484-AC3B-4E52-A437-C9A3C894C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1494</TotalTime>
  <Pages>9</Pages>
  <Words>2345</Words>
  <Characters>13369</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3-4-13 Divd NYSSA</vt:lpstr>
    </vt:vector>
  </TitlesOfParts>
  <Company>EMC Insurance</Company>
  <LinksUpToDate>false</LinksUpToDate>
  <CharactersWithSpaces>15683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3-4-13 Divd NYSSA</dc:title>
  <dc:subject/>
  <dc:creator>Sarah Paoli</dc:creator>
  <cp:keywords/>
  <dc:description/>
  <cp:lastModifiedBy>Steve Walsh</cp:lastModifiedBy>
  <cp:revision>74</cp:revision>
  <cp:lastPrinted>2017-05-02T21:06:00Z</cp:lastPrinted>
  <dcterms:created xsi:type="dcterms:W3CDTF">2017-04-06T15:57:00Z</dcterms:created>
  <dcterms:modified xsi:type="dcterms:W3CDTF">2017-05-04T15:25:00Z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2013-03-04T00:00:00Z</vt:filetime>
  </property>
  <property fmtid="{D5CDD505-2E9C-101B-9397-08002B2CF9AE}" pid="3" name="LastSaved">
    <vt:filetime>2013-03-25T00:00:00Z</vt:filetime>
  </property>
</Properties>
</file>