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7DA" w:rsidRPr="00E957DA" w:rsidRDefault="00E957DA" w:rsidP="00E957DA">
      <w:pPr>
        <w:shd w:val="clear" w:color="auto" w:fill="FFFFFF"/>
        <w:spacing w:after="0" w:line="401" w:lineRule="atLeast"/>
        <w:jc w:val="center"/>
        <w:outlineLvl w:val="0"/>
        <w:rPr>
          <w:rFonts w:ascii="Arial" w:eastAsia="Times New Roman" w:hAnsi="Arial" w:cs="Arial"/>
          <w:color w:val="000000"/>
          <w:kern w:val="36"/>
          <w:sz w:val="35"/>
          <w:szCs w:val="35"/>
        </w:rPr>
      </w:pPr>
      <w:r w:rsidRPr="00E957DA">
        <w:rPr>
          <w:rFonts w:ascii="Arial" w:eastAsia="Times New Roman" w:hAnsi="Arial" w:cs="Arial"/>
          <w:color w:val="000000"/>
          <w:kern w:val="36"/>
          <w:sz w:val="35"/>
          <w:szCs w:val="35"/>
        </w:rPr>
        <w:t>Dakota Territory Resource Corp Seeks To Extend High Grade Gold Mineralization at Blind Gold Property</w:t>
      </w:r>
    </w:p>
    <w:p w:rsidR="001F145D" w:rsidRPr="0092581A" w:rsidRDefault="001F145D" w:rsidP="00EB6FB8">
      <w:pPr>
        <w:shd w:val="clear" w:color="auto" w:fill="FFFFFF"/>
        <w:spacing w:after="0" w:line="401" w:lineRule="atLeast"/>
        <w:outlineLvl w:val="0"/>
        <w:rPr>
          <w:rFonts w:ascii="Arial" w:eastAsia="Times New Roman" w:hAnsi="Arial" w:cs="Arial"/>
          <w:color w:val="000000"/>
          <w:kern w:val="36"/>
          <w:sz w:val="28"/>
          <w:szCs w:val="28"/>
        </w:rPr>
      </w:pPr>
    </w:p>
    <w:p w:rsidR="001F145D" w:rsidRPr="0092581A" w:rsidRDefault="001F145D" w:rsidP="000418CB">
      <w:pPr>
        <w:shd w:val="clear" w:color="auto" w:fill="FFFFFF"/>
        <w:spacing w:after="0" w:line="401" w:lineRule="atLeast"/>
        <w:jc w:val="center"/>
        <w:outlineLvl w:val="0"/>
        <w:rPr>
          <w:rFonts w:ascii="Arial" w:eastAsia="Times New Roman" w:hAnsi="Arial" w:cs="Arial"/>
          <w:i/>
          <w:color w:val="000000"/>
          <w:kern w:val="36"/>
          <w:sz w:val="28"/>
          <w:szCs w:val="28"/>
        </w:rPr>
      </w:pPr>
      <w:r w:rsidRPr="0092581A">
        <w:rPr>
          <w:rFonts w:ascii="Arial" w:eastAsia="Times New Roman" w:hAnsi="Arial" w:cs="Arial"/>
          <w:i/>
          <w:color w:val="000000"/>
          <w:kern w:val="36"/>
          <w:sz w:val="28"/>
          <w:szCs w:val="28"/>
        </w:rPr>
        <w:t>9.44 Grams per Tonne Gold Returned in Surface Sampling Program</w:t>
      </w:r>
    </w:p>
    <w:p w:rsidR="00AB3BEC" w:rsidRPr="0092581A" w:rsidRDefault="00AB3BEC" w:rsidP="000418CB">
      <w:pPr>
        <w:shd w:val="clear" w:color="auto" w:fill="FFFFFF"/>
        <w:spacing w:after="0" w:line="250" w:lineRule="atLeast"/>
        <w:jc w:val="center"/>
        <w:rPr>
          <w:rFonts w:ascii="Arial" w:eastAsia="Times New Roman" w:hAnsi="Arial" w:cs="Arial"/>
          <w:color w:val="000000"/>
          <w:sz w:val="16"/>
          <w:szCs w:val="16"/>
        </w:rPr>
      </w:pPr>
    </w:p>
    <w:p w:rsidR="00EB6FB8" w:rsidRPr="0092581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Reno, Nevada, </w:t>
      </w:r>
      <w:r w:rsidR="006A0150" w:rsidRPr="0092581A">
        <w:rPr>
          <w:rFonts w:ascii="Arial" w:eastAsia="Times New Roman" w:hAnsi="Arial" w:cs="Arial"/>
          <w:color w:val="000000"/>
          <w:sz w:val="24"/>
          <w:szCs w:val="24"/>
        </w:rPr>
        <w:t xml:space="preserve">March </w:t>
      </w:r>
      <w:r w:rsidR="005311EE" w:rsidRPr="0092581A">
        <w:rPr>
          <w:rFonts w:ascii="Arial" w:eastAsia="Times New Roman" w:hAnsi="Arial" w:cs="Arial"/>
          <w:color w:val="000000"/>
          <w:sz w:val="24"/>
          <w:szCs w:val="24"/>
        </w:rPr>
        <w:t>2</w:t>
      </w:r>
      <w:r w:rsidR="000418CB">
        <w:rPr>
          <w:rFonts w:ascii="Arial" w:eastAsia="Times New Roman" w:hAnsi="Arial" w:cs="Arial"/>
          <w:color w:val="000000"/>
          <w:sz w:val="24"/>
          <w:szCs w:val="24"/>
        </w:rPr>
        <w:t>2</w:t>
      </w:r>
      <w:r w:rsidR="006A0150" w:rsidRPr="0092581A">
        <w:rPr>
          <w:rFonts w:ascii="Arial" w:eastAsia="Times New Roman" w:hAnsi="Arial" w:cs="Arial"/>
          <w:color w:val="000000"/>
          <w:sz w:val="24"/>
          <w:szCs w:val="24"/>
        </w:rPr>
        <w:t>, 2016</w:t>
      </w:r>
      <w:r w:rsidRPr="0092581A">
        <w:rPr>
          <w:rFonts w:ascii="Arial" w:eastAsia="Times New Roman" w:hAnsi="Arial" w:cs="Arial"/>
          <w:color w:val="000000"/>
          <w:sz w:val="24"/>
          <w:szCs w:val="24"/>
        </w:rPr>
        <w:t xml:space="preserve"> -- Dakota Territory Resource Corp (OTCQB: DTRC) ("Dakota Territory" or the "Company")</w:t>
      </w:r>
      <w:r w:rsidR="001210F7" w:rsidRPr="0092581A">
        <w:rPr>
          <w:rFonts w:ascii="Arial" w:eastAsia="Times New Roman" w:hAnsi="Arial" w:cs="Arial"/>
          <w:color w:val="000000"/>
          <w:sz w:val="24"/>
          <w:szCs w:val="24"/>
        </w:rPr>
        <w:t>, a gold exploration company with a portfolio of properties near the legendary Homestake Mine in the Black Hills of South Dakota,</w:t>
      </w:r>
      <w:r w:rsidRPr="0092581A">
        <w:rPr>
          <w:rFonts w:ascii="Arial" w:eastAsia="Times New Roman" w:hAnsi="Arial" w:cs="Arial"/>
          <w:color w:val="000000"/>
          <w:sz w:val="24"/>
          <w:szCs w:val="24"/>
        </w:rPr>
        <w:t xml:space="preserve"> </w:t>
      </w:r>
      <w:r w:rsidR="00E957DA" w:rsidRPr="00E957DA">
        <w:rPr>
          <w:rFonts w:ascii="Arial" w:eastAsia="Times New Roman" w:hAnsi="Arial" w:cs="Arial"/>
          <w:color w:val="000000"/>
          <w:sz w:val="24"/>
          <w:szCs w:val="24"/>
        </w:rPr>
        <w:t xml:space="preserve">is pleased to announce that the Company’s intends to </w:t>
      </w:r>
      <w:r w:rsidR="00E957DA">
        <w:rPr>
          <w:rFonts w:ascii="Arial" w:eastAsia="Times New Roman" w:hAnsi="Arial" w:cs="Arial"/>
          <w:color w:val="000000"/>
          <w:sz w:val="24"/>
          <w:szCs w:val="24"/>
        </w:rPr>
        <w:t>continue</w:t>
      </w:r>
      <w:r w:rsidR="00E957DA" w:rsidRPr="00E957DA">
        <w:rPr>
          <w:rFonts w:ascii="Arial" w:eastAsia="Times New Roman" w:hAnsi="Arial" w:cs="Arial"/>
          <w:color w:val="000000"/>
          <w:sz w:val="24"/>
          <w:szCs w:val="24"/>
        </w:rPr>
        <w:t xml:space="preserve"> its sampling along trend of the zone of high grade gold mineralization identified by the first pass surface sampling program conducted on its 100% owned Blind Gold Property</w:t>
      </w:r>
      <w:r w:rsidRPr="0092581A">
        <w:rPr>
          <w:rFonts w:ascii="Arial" w:eastAsia="Times New Roman" w:hAnsi="Arial" w:cs="Arial"/>
          <w:color w:val="000000"/>
          <w:sz w:val="24"/>
          <w:szCs w:val="24"/>
        </w:rPr>
        <w:t>.  The pr</w:t>
      </w:r>
      <w:r w:rsidR="001F145D" w:rsidRPr="0092581A">
        <w:rPr>
          <w:rFonts w:ascii="Arial" w:eastAsia="Times New Roman" w:hAnsi="Arial" w:cs="Arial"/>
          <w:color w:val="000000"/>
          <w:sz w:val="24"/>
          <w:szCs w:val="24"/>
        </w:rPr>
        <w:t>ogram identified a zone of high-</w:t>
      </w:r>
      <w:r w:rsidRPr="0092581A">
        <w:rPr>
          <w:rFonts w:ascii="Arial" w:eastAsia="Times New Roman" w:hAnsi="Arial" w:cs="Arial"/>
          <w:color w:val="000000"/>
          <w:sz w:val="24"/>
          <w:szCs w:val="24"/>
        </w:rPr>
        <w:t xml:space="preserve">grade gold mineralization in the Mississippian-age </w:t>
      </w:r>
      <w:proofErr w:type="spellStart"/>
      <w:r w:rsidRPr="0092581A">
        <w:rPr>
          <w:rFonts w:ascii="Arial" w:eastAsia="Times New Roman" w:hAnsi="Arial" w:cs="Arial"/>
          <w:color w:val="000000"/>
          <w:sz w:val="24"/>
          <w:szCs w:val="24"/>
        </w:rPr>
        <w:t>Pahasapa</w:t>
      </w:r>
      <w:proofErr w:type="spellEnd"/>
      <w:r w:rsidRPr="0092581A">
        <w:rPr>
          <w:rFonts w:ascii="Arial" w:eastAsia="Times New Roman" w:hAnsi="Arial" w:cs="Arial"/>
          <w:color w:val="000000"/>
          <w:sz w:val="24"/>
          <w:szCs w:val="24"/>
        </w:rPr>
        <w:t xml:space="preserve"> Limestone on </w:t>
      </w:r>
      <w:r w:rsidR="00E957DA">
        <w:rPr>
          <w:rFonts w:ascii="Arial" w:eastAsia="Times New Roman" w:hAnsi="Arial" w:cs="Arial"/>
          <w:color w:val="000000"/>
          <w:sz w:val="24"/>
          <w:szCs w:val="24"/>
        </w:rPr>
        <w:t xml:space="preserve">the </w:t>
      </w:r>
      <w:r w:rsidRPr="0092581A">
        <w:rPr>
          <w:rFonts w:ascii="Arial" w:eastAsia="Times New Roman" w:hAnsi="Arial" w:cs="Arial"/>
          <w:color w:val="000000"/>
          <w:sz w:val="24"/>
          <w:szCs w:val="24"/>
        </w:rPr>
        <w:t>surface, with a peak gold assay value of 9.44 grams per tonne.</w:t>
      </w:r>
    </w:p>
    <w:p w:rsidR="001210F7" w:rsidRPr="0092581A" w:rsidRDefault="001210F7" w:rsidP="00EB6FB8">
      <w:pPr>
        <w:shd w:val="clear" w:color="auto" w:fill="FFFFFF"/>
        <w:spacing w:after="0" w:line="250" w:lineRule="atLeast"/>
        <w:rPr>
          <w:rFonts w:ascii="Arial" w:eastAsia="Times New Roman" w:hAnsi="Arial" w:cs="Arial"/>
          <w:color w:val="000000"/>
          <w:sz w:val="24"/>
          <w:szCs w:val="24"/>
        </w:rPr>
      </w:pPr>
    </w:p>
    <w:p w:rsidR="00EB6FB8" w:rsidRPr="0092581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The Company’s first pass surface sampling program was focused on tertiary-aged gold mineralization in the younger sedimentary and intrusive formations that cover Dakota Territory’s primary targets at the Blind Gold Property, which are hosted in the underlying Homestake Iron-Formation.  A total of 37 grab and pick samples were collected across the Blind Gold Property, with the most notable results returned from 14 samples taken in close proximity to historic workings located to the east of </w:t>
      </w:r>
      <w:r w:rsidR="00C65A3D" w:rsidRPr="0092581A">
        <w:rPr>
          <w:rFonts w:ascii="Arial" w:eastAsia="Times New Roman" w:hAnsi="Arial" w:cs="Arial"/>
          <w:color w:val="000000"/>
          <w:sz w:val="24"/>
          <w:szCs w:val="24"/>
        </w:rPr>
        <w:t xml:space="preserve">the </w:t>
      </w:r>
      <w:r w:rsidRPr="0092581A">
        <w:rPr>
          <w:rFonts w:ascii="Arial" w:eastAsia="Times New Roman" w:hAnsi="Arial" w:cs="Arial"/>
          <w:color w:val="000000"/>
          <w:sz w:val="24"/>
          <w:szCs w:val="24"/>
        </w:rPr>
        <w:t xml:space="preserve">Tetro Rock </w:t>
      </w:r>
      <w:r w:rsidR="00AB3BEC" w:rsidRPr="0092581A">
        <w:rPr>
          <w:rFonts w:ascii="Arial" w:eastAsia="Times New Roman" w:hAnsi="Arial" w:cs="Arial"/>
          <w:color w:val="000000"/>
          <w:sz w:val="24"/>
          <w:szCs w:val="24"/>
        </w:rPr>
        <w:t xml:space="preserve">Promontory </w:t>
      </w:r>
      <w:r w:rsidRPr="0092581A">
        <w:rPr>
          <w:rFonts w:ascii="Arial" w:eastAsia="Times New Roman" w:hAnsi="Arial" w:cs="Arial"/>
          <w:color w:val="000000"/>
          <w:sz w:val="24"/>
          <w:szCs w:val="24"/>
        </w:rPr>
        <w:t>at the center of the property:</w:t>
      </w:r>
    </w:p>
    <w:tbl>
      <w:tblPr>
        <w:tblW w:w="9780" w:type="dxa"/>
        <w:tblCellSpacing w:w="0" w:type="dxa"/>
        <w:shd w:val="clear" w:color="auto" w:fill="FFFFFF"/>
        <w:tblCellMar>
          <w:left w:w="0" w:type="dxa"/>
          <w:right w:w="0" w:type="dxa"/>
        </w:tblCellMar>
        <w:tblLook w:val="04A0"/>
      </w:tblPr>
      <w:tblGrid>
        <w:gridCol w:w="2355"/>
        <w:gridCol w:w="3045"/>
        <w:gridCol w:w="1500"/>
        <w:gridCol w:w="2880"/>
      </w:tblGrid>
      <w:tr w:rsidR="00EB6FB8" w:rsidRPr="0092581A" w:rsidTr="00EB6FB8">
        <w:trPr>
          <w:tblCellSpacing w:w="0" w:type="dxa"/>
        </w:trPr>
        <w:tc>
          <w:tcPr>
            <w:tcW w:w="9780" w:type="dxa"/>
            <w:gridSpan w:val="4"/>
            <w:shd w:val="clear" w:color="auto" w:fill="FFFFFF"/>
            <w:noWrap/>
            <w:vAlign w:val="center"/>
            <w:hideMark/>
          </w:tcPr>
          <w:p w:rsidR="00EB6FB8" w:rsidRDefault="00EB6FB8" w:rsidP="00EB6FB8">
            <w:pPr>
              <w:spacing w:after="0" w:line="250" w:lineRule="atLeast"/>
              <w:jc w:val="center"/>
              <w:rPr>
                <w:rFonts w:ascii="Arial" w:eastAsia="Times New Roman" w:hAnsi="Arial" w:cs="Arial"/>
                <w:b/>
                <w:bCs/>
                <w:color w:val="000000"/>
                <w:sz w:val="24"/>
                <w:szCs w:val="24"/>
              </w:rPr>
            </w:pPr>
            <w:r w:rsidRPr="0092581A">
              <w:rPr>
                <w:rFonts w:ascii="Arial" w:eastAsia="Times New Roman" w:hAnsi="Arial" w:cs="Arial"/>
                <w:b/>
                <w:bCs/>
                <w:color w:val="000000"/>
                <w:sz w:val="24"/>
                <w:szCs w:val="24"/>
              </w:rPr>
              <w:t>Tetro Rock Area Assay Results</w:t>
            </w:r>
          </w:p>
          <w:p w:rsidR="0092581A" w:rsidRPr="0092581A" w:rsidRDefault="0092581A" w:rsidP="00EB6FB8">
            <w:pPr>
              <w:spacing w:after="0" w:line="250" w:lineRule="atLeast"/>
              <w:jc w:val="center"/>
              <w:rPr>
                <w:rFonts w:ascii="Arial" w:eastAsia="Times New Roman" w:hAnsi="Arial" w:cs="Arial"/>
                <w:color w:val="000000"/>
                <w:sz w:val="24"/>
                <w:szCs w:val="24"/>
              </w:rPr>
            </w:pP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u w:val="single"/>
              </w:rPr>
            </w:pPr>
            <w:r w:rsidRPr="0092581A">
              <w:rPr>
                <w:rFonts w:ascii="Arial" w:eastAsia="Times New Roman" w:hAnsi="Arial" w:cs="Arial"/>
                <w:b/>
                <w:bCs/>
                <w:color w:val="000000"/>
                <w:sz w:val="24"/>
                <w:szCs w:val="24"/>
                <w:u w:val="single"/>
              </w:rPr>
              <w:t>Sample Number</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u w:val="single"/>
              </w:rPr>
            </w:pPr>
            <w:r w:rsidRPr="0092581A">
              <w:rPr>
                <w:rFonts w:ascii="Arial" w:eastAsia="Times New Roman" w:hAnsi="Arial" w:cs="Arial"/>
                <w:b/>
                <w:bCs/>
                <w:color w:val="000000"/>
                <w:sz w:val="24"/>
                <w:szCs w:val="24"/>
                <w:u w:val="single"/>
              </w:rPr>
              <w:t>Location</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u w:val="single"/>
              </w:rPr>
            </w:pPr>
            <w:r w:rsidRPr="0092581A">
              <w:rPr>
                <w:rFonts w:ascii="Arial" w:eastAsia="Times New Roman" w:hAnsi="Arial" w:cs="Arial"/>
                <w:b/>
                <w:bCs/>
                <w:color w:val="000000"/>
                <w:sz w:val="24"/>
                <w:szCs w:val="24"/>
                <w:u w:val="single"/>
              </w:rPr>
              <w:t>Rock Type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u w:val="single"/>
              </w:rPr>
            </w:pPr>
            <w:r w:rsidRPr="0092581A">
              <w:rPr>
                <w:rFonts w:ascii="Arial" w:eastAsia="Times New Roman" w:hAnsi="Arial" w:cs="Arial"/>
                <w:b/>
                <w:bCs/>
                <w:color w:val="000000"/>
                <w:sz w:val="24"/>
                <w:szCs w:val="24"/>
                <w:u w:val="single"/>
              </w:rPr>
              <w:t>Gold (grams/tonne)</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rPr>
                <w:rFonts w:ascii="Arial" w:eastAsia="Times New Roman" w:hAnsi="Arial" w:cs="Arial"/>
                <w:color w:val="000000"/>
                <w:sz w:val="24"/>
                <w:szCs w:val="24"/>
              </w:rPr>
            </w:pPr>
          </w:p>
        </w:tc>
        <w:tc>
          <w:tcPr>
            <w:tcW w:w="3045" w:type="dxa"/>
            <w:shd w:val="clear" w:color="auto" w:fill="FFFFFF"/>
            <w:noWrap/>
            <w:vAlign w:val="bottom"/>
            <w:hideMark/>
          </w:tcPr>
          <w:p w:rsidR="00EB6FB8" w:rsidRPr="0092581A" w:rsidRDefault="00EB6FB8" w:rsidP="00EB6FB8">
            <w:pPr>
              <w:spacing w:after="0" w:line="250" w:lineRule="atLeast"/>
              <w:rPr>
                <w:rFonts w:ascii="Arial" w:eastAsia="Times New Roman" w:hAnsi="Arial" w:cs="Arial"/>
                <w:color w:val="000000"/>
                <w:sz w:val="24"/>
                <w:szCs w:val="24"/>
              </w:rPr>
            </w:pPr>
          </w:p>
        </w:tc>
        <w:tc>
          <w:tcPr>
            <w:tcW w:w="1500" w:type="dxa"/>
            <w:shd w:val="clear" w:color="auto" w:fill="FFFFFF"/>
            <w:noWrap/>
            <w:vAlign w:val="bottom"/>
            <w:hideMark/>
          </w:tcPr>
          <w:p w:rsidR="00EB6FB8" w:rsidRPr="0092581A" w:rsidRDefault="00EB6FB8" w:rsidP="00EB6FB8">
            <w:pPr>
              <w:spacing w:after="0" w:line="250" w:lineRule="atLeast"/>
              <w:rPr>
                <w:rFonts w:ascii="Arial" w:eastAsia="Times New Roman" w:hAnsi="Arial" w:cs="Arial"/>
                <w:color w:val="000000"/>
                <w:sz w:val="24"/>
                <w:szCs w:val="24"/>
              </w:rPr>
            </w:pPr>
          </w:p>
        </w:tc>
        <w:tc>
          <w:tcPr>
            <w:tcW w:w="2880" w:type="dxa"/>
            <w:shd w:val="clear" w:color="auto" w:fill="FFFFFF"/>
            <w:noWrap/>
            <w:vAlign w:val="bottom"/>
            <w:hideMark/>
          </w:tcPr>
          <w:p w:rsidR="00EB6FB8" w:rsidRPr="0092581A" w:rsidRDefault="00EB6FB8" w:rsidP="00EB6FB8">
            <w:pPr>
              <w:spacing w:after="0" w:line="250" w:lineRule="atLeast"/>
              <w:rPr>
                <w:rFonts w:ascii="Arial" w:eastAsia="Times New Roman" w:hAnsi="Arial" w:cs="Arial"/>
                <w:color w:val="000000"/>
                <w:sz w:val="24"/>
                <w:szCs w:val="24"/>
              </w:rPr>
            </w:pP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BG11-008</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North Pit</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9.440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BG11-009</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North Pit</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0.455</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BG11-010</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North Pit</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0.037</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BG11-011</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South Pit/</w:t>
            </w:r>
            <w:proofErr w:type="spellStart"/>
            <w:r w:rsidRPr="0092581A">
              <w:rPr>
                <w:rFonts w:ascii="Arial" w:eastAsia="Times New Roman" w:hAnsi="Arial" w:cs="Arial"/>
                <w:color w:val="000000"/>
                <w:sz w:val="24"/>
                <w:szCs w:val="24"/>
              </w:rPr>
              <w:t>Adit</w:t>
            </w:r>
            <w:proofErr w:type="spellEnd"/>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5.170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BG11-012</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South Pit/</w:t>
            </w:r>
            <w:proofErr w:type="spellStart"/>
            <w:r w:rsidRPr="0092581A">
              <w:rPr>
                <w:rFonts w:ascii="Arial" w:eastAsia="Times New Roman" w:hAnsi="Arial" w:cs="Arial"/>
                <w:color w:val="000000"/>
                <w:sz w:val="24"/>
                <w:szCs w:val="24"/>
              </w:rPr>
              <w:t>Adit</w:t>
            </w:r>
            <w:proofErr w:type="spellEnd"/>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2.410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BG11-013</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South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7.220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BG11-014</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Pit</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1.140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BG11-021</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Intrusive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0.007</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BG11-022</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Intrusive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0.010</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BG11-023</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0.015</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BG11-024</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Intrusive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0.007</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BG11-025</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Trench</w:t>
            </w:r>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0.592</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BG11-026</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Pit/</w:t>
            </w:r>
            <w:proofErr w:type="spellStart"/>
            <w:r w:rsidRPr="0092581A">
              <w:rPr>
                <w:rFonts w:ascii="Arial" w:eastAsia="Times New Roman" w:hAnsi="Arial" w:cs="Arial"/>
                <w:color w:val="000000"/>
                <w:sz w:val="24"/>
                <w:szCs w:val="24"/>
              </w:rPr>
              <w:t>Adit</w:t>
            </w:r>
            <w:proofErr w:type="spellEnd"/>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0.064</w:t>
            </w:r>
          </w:p>
        </w:tc>
      </w:tr>
      <w:tr w:rsidR="00EB6FB8" w:rsidRPr="0092581A" w:rsidTr="00EB6FB8">
        <w:trPr>
          <w:tblCellSpacing w:w="0" w:type="dxa"/>
        </w:trPr>
        <w:tc>
          <w:tcPr>
            <w:tcW w:w="235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BG11-027</w:t>
            </w:r>
          </w:p>
        </w:tc>
        <w:tc>
          <w:tcPr>
            <w:tcW w:w="3045"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Intermediate Pit/</w:t>
            </w:r>
            <w:proofErr w:type="spellStart"/>
            <w:r w:rsidRPr="0092581A">
              <w:rPr>
                <w:rFonts w:ascii="Arial" w:eastAsia="Times New Roman" w:hAnsi="Arial" w:cs="Arial"/>
                <w:color w:val="000000"/>
                <w:sz w:val="24"/>
                <w:szCs w:val="24"/>
              </w:rPr>
              <w:t>Adit</w:t>
            </w:r>
            <w:proofErr w:type="spellEnd"/>
          </w:p>
        </w:tc>
        <w:tc>
          <w:tcPr>
            <w:tcW w:w="150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color w:val="000000"/>
                <w:sz w:val="24"/>
                <w:szCs w:val="24"/>
              </w:rPr>
              <w:t>Limestone</w:t>
            </w:r>
          </w:p>
        </w:tc>
        <w:tc>
          <w:tcPr>
            <w:tcW w:w="2880" w:type="dxa"/>
            <w:shd w:val="clear" w:color="auto" w:fill="FFFFFF"/>
            <w:noWrap/>
            <w:vAlign w:val="bottom"/>
            <w:hideMark/>
          </w:tcPr>
          <w:p w:rsidR="00EB6FB8" w:rsidRPr="0092581A" w:rsidRDefault="00EB6FB8" w:rsidP="00EB6FB8">
            <w:pPr>
              <w:spacing w:after="0" w:line="250" w:lineRule="atLeast"/>
              <w:jc w:val="center"/>
              <w:rPr>
                <w:rFonts w:ascii="Arial" w:eastAsia="Times New Roman" w:hAnsi="Arial" w:cs="Arial"/>
                <w:color w:val="000000"/>
                <w:sz w:val="24"/>
                <w:szCs w:val="24"/>
              </w:rPr>
            </w:pPr>
            <w:r w:rsidRPr="0092581A">
              <w:rPr>
                <w:rFonts w:ascii="Arial" w:eastAsia="Times New Roman" w:hAnsi="Arial" w:cs="Arial"/>
                <w:b/>
                <w:bCs/>
                <w:i/>
                <w:iCs/>
                <w:color w:val="000000"/>
                <w:sz w:val="24"/>
                <w:szCs w:val="24"/>
              </w:rPr>
              <w:t>4.610</w:t>
            </w:r>
          </w:p>
        </w:tc>
      </w:tr>
    </w:tbl>
    <w:p w:rsidR="006C46B2" w:rsidRDefault="006C46B2" w:rsidP="00EB6FB8">
      <w:pPr>
        <w:shd w:val="clear" w:color="auto" w:fill="FFFFFF"/>
        <w:spacing w:after="0" w:line="250" w:lineRule="atLeast"/>
        <w:rPr>
          <w:rFonts w:ascii="Arial" w:eastAsia="Times New Roman" w:hAnsi="Arial" w:cs="Arial"/>
          <w:color w:val="000000"/>
          <w:sz w:val="24"/>
          <w:szCs w:val="24"/>
        </w:rPr>
      </w:pPr>
    </w:p>
    <w:p w:rsidR="001210F7" w:rsidRPr="0092581A" w:rsidRDefault="006C46B2"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 </w:t>
      </w:r>
      <w:r w:rsidR="001210F7" w:rsidRPr="0092581A">
        <w:rPr>
          <w:rFonts w:ascii="Arial" w:eastAsia="Times New Roman" w:hAnsi="Arial" w:cs="Arial"/>
          <w:color w:val="000000"/>
          <w:sz w:val="24"/>
          <w:szCs w:val="24"/>
        </w:rPr>
        <w:t xml:space="preserve">“Based upon the decades experience mining in this prolific gold region and the robust amount of historic exploration data that our team possesses, it is not a tremendous surprise to us that </w:t>
      </w:r>
      <w:r w:rsidR="001F145D" w:rsidRPr="0092581A">
        <w:rPr>
          <w:rFonts w:ascii="Arial" w:eastAsia="Times New Roman" w:hAnsi="Arial" w:cs="Arial"/>
          <w:color w:val="000000"/>
          <w:sz w:val="24"/>
          <w:szCs w:val="24"/>
        </w:rPr>
        <w:t>grab</w:t>
      </w:r>
      <w:r w:rsidR="001210F7" w:rsidRPr="0092581A">
        <w:rPr>
          <w:rFonts w:ascii="Arial" w:eastAsia="Times New Roman" w:hAnsi="Arial" w:cs="Arial"/>
          <w:color w:val="000000"/>
          <w:sz w:val="24"/>
          <w:szCs w:val="24"/>
        </w:rPr>
        <w:t xml:space="preserve"> sample assays showed gold grades up to 9.44 grams per tonne,” commented Richard Bachman, Chief Executive Officer at Dakota Territory Resou</w:t>
      </w:r>
      <w:r w:rsidR="001F145D" w:rsidRPr="0092581A">
        <w:rPr>
          <w:rFonts w:ascii="Arial" w:eastAsia="Times New Roman" w:hAnsi="Arial" w:cs="Arial"/>
          <w:color w:val="000000"/>
          <w:sz w:val="24"/>
          <w:szCs w:val="24"/>
        </w:rPr>
        <w:t>rces.  “We expected to see high-</w:t>
      </w:r>
      <w:r w:rsidR="001210F7" w:rsidRPr="0092581A">
        <w:rPr>
          <w:rFonts w:ascii="Arial" w:eastAsia="Times New Roman" w:hAnsi="Arial" w:cs="Arial"/>
          <w:color w:val="000000"/>
          <w:sz w:val="24"/>
          <w:szCs w:val="24"/>
        </w:rPr>
        <w:t>grade results and believe we are only scratching the surface of the potential resources</w:t>
      </w:r>
      <w:r w:rsidR="001F145D" w:rsidRPr="0092581A">
        <w:rPr>
          <w:rFonts w:ascii="Arial" w:eastAsia="Times New Roman" w:hAnsi="Arial" w:cs="Arial"/>
          <w:color w:val="000000"/>
          <w:sz w:val="24"/>
          <w:szCs w:val="24"/>
        </w:rPr>
        <w:t xml:space="preserve"> and gold grades</w:t>
      </w:r>
      <w:r w:rsidR="001210F7" w:rsidRPr="0092581A">
        <w:rPr>
          <w:rFonts w:ascii="Arial" w:eastAsia="Times New Roman" w:hAnsi="Arial" w:cs="Arial"/>
          <w:color w:val="000000"/>
          <w:sz w:val="24"/>
          <w:szCs w:val="24"/>
        </w:rPr>
        <w:t xml:space="preserve"> at Blind Gold.” </w:t>
      </w:r>
    </w:p>
    <w:p w:rsidR="001210F7" w:rsidRPr="0092581A" w:rsidRDefault="001210F7" w:rsidP="00EB6FB8">
      <w:pPr>
        <w:shd w:val="clear" w:color="auto" w:fill="FFFFFF"/>
        <w:spacing w:after="0" w:line="250" w:lineRule="atLeast"/>
        <w:rPr>
          <w:rFonts w:ascii="Arial" w:eastAsia="Times New Roman" w:hAnsi="Arial" w:cs="Arial"/>
          <w:color w:val="000000"/>
          <w:sz w:val="24"/>
          <w:szCs w:val="24"/>
        </w:rPr>
      </w:pPr>
    </w:p>
    <w:p w:rsidR="00E957D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The historic workings in the Tetro Rock area include numerous pits, trenches and shallow </w:t>
      </w:r>
      <w:proofErr w:type="spellStart"/>
      <w:r w:rsidRPr="0092581A">
        <w:rPr>
          <w:rFonts w:ascii="Arial" w:eastAsia="Times New Roman" w:hAnsi="Arial" w:cs="Arial"/>
          <w:color w:val="000000"/>
          <w:sz w:val="24"/>
          <w:szCs w:val="24"/>
        </w:rPr>
        <w:t>adits</w:t>
      </w:r>
      <w:proofErr w:type="spellEnd"/>
      <w:r w:rsidRPr="0092581A">
        <w:rPr>
          <w:rFonts w:ascii="Arial" w:eastAsia="Times New Roman" w:hAnsi="Arial" w:cs="Arial"/>
          <w:color w:val="000000"/>
          <w:sz w:val="24"/>
          <w:szCs w:val="24"/>
        </w:rPr>
        <w:t xml:space="preserve"> excavated over a horizontal distance extending approximately 540 meters along the indicated North - South trend of mineralization.  Samples collected by Dakota Territory were taken from the outcrop and dumps created by the historic mining activity over the entire length of the trend.  Gold mineralization in the Tetro Rock area appears to be hosted in flat lying, silicified layers of </w:t>
      </w:r>
      <w:proofErr w:type="spellStart"/>
      <w:r w:rsidRPr="0092581A">
        <w:rPr>
          <w:rFonts w:ascii="Arial" w:eastAsia="Times New Roman" w:hAnsi="Arial" w:cs="Arial"/>
          <w:color w:val="000000"/>
          <w:sz w:val="24"/>
          <w:szCs w:val="24"/>
        </w:rPr>
        <w:t>Pahasapa</w:t>
      </w:r>
      <w:proofErr w:type="spellEnd"/>
      <w:r w:rsidRPr="0092581A">
        <w:rPr>
          <w:rFonts w:ascii="Arial" w:eastAsia="Times New Roman" w:hAnsi="Arial" w:cs="Arial"/>
          <w:color w:val="000000"/>
          <w:sz w:val="24"/>
          <w:szCs w:val="24"/>
        </w:rPr>
        <w:t xml:space="preserve"> Limestone that have been cut by vertical fissure veins proximal to a Tertiary-aged </w:t>
      </w:r>
      <w:proofErr w:type="spellStart"/>
      <w:r w:rsidRPr="0092581A">
        <w:rPr>
          <w:rFonts w:ascii="Arial" w:eastAsia="Times New Roman" w:hAnsi="Arial" w:cs="Arial"/>
          <w:color w:val="000000"/>
          <w:sz w:val="24"/>
          <w:szCs w:val="24"/>
        </w:rPr>
        <w:t>Phonolite</w:t>
      </w:r>
      <w:proofErr w:type="spellEnd"/>
      <w:r w:rsidRPr="0092581A">
        <w:rPr>
          <w:rFonts w:ascii="Arial" w:eastAsia="Times New Roman" w:hAnsi="Arial" w:cs="Arial"/>
          <w:color w:val="000000"/>
          <w:sz w:val="24"/>
          <w:szCs w:val="24"/>
        </w:rPr>
        <w:t xml:space="preserve"> </w:t>
      </w:r>
      <w:proofErr w:type="spellStart"/>
      <w:r w:rsidRPr="0092581A">
        <w:rPr>
          <w:rFonts w:ascii="Arial" w:eastAsia="Times New Roman" w:hAnsi="Arial" w:cs="Arial"/>
          <w:color w:val="000000"/>
          <w:sz w:val="24"/>
          <w:szCs w:val="24"/>
        </w:rPr>
        <w:t>laccolith</w:t>
      </w:r>
      <w:proofErr w:type="spellEnd"/>
      <w:r w:rsidRPr="0092581A">
        <w:rPr>
          <w:rFonts w:ascii="Arial" w:eastAsia="Times New Roman" w:hAnsi="Arial" w:cs="Arial"/>
          <w:color w:val="000000"/>
          <w:sz w:val="24"/>
          <w:szCs w:val="24"/>
        </w:rPr>
        <w:t xml:space="preserve">.  </w:t>
      </w:r>
    </w:p>
    <w:p w:rsidR="00E957DA" w:rsidRDefault="00E957DA" w:rsidP="00EB6FB8">
      <w:pPr>
        <w:shd w:val="clear" w:color="auto" w:fill="FFFFFF"/>
        <w:spacing w:after="0" w:line="250" w:lineRule="atLeast"/>
        <w:rPr>
          <w:rFonts w:ascii="Arial" w:eastAsia="Times New Roman" w:hAnsi="Arial" w:cs="Arial"/>
          <w:color w:val="000000"/>
          <w:sz w:val="24"/>
          <w:szCs w:val="24"/>
        </w:rPr>
      </w:pPr>
    </w:p>
    <w:p w:rsidR="00EB6FB8" w:rsidRPr="0092581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Nearly 5 million ounces of gold has been produced from Tertiary-aged gold deposits in the Homestake District.  Such deposits are most commonly hosted in the Deadwood Formation; however, significant historic gold production has been realized from similar deposits hosted in the </w:t>
      </w:r>
      <w:proofErr w:type="spellStart"/>
      <w:r w:rsidRPr="0092581A">
        <w:rPr>
          <w:rFonts w:ascii="Arial" w:eastAsia="Times New Roman" w:hAnsi="Arial" w:cs="Arial"/>
          <w:color w:val="000000"/>
          <w:sz w:val="24"/>
          <w:szCs w:val="24"/>
        </w:rPr>
        <w:t>Pahasapa</w:t>
      </w:r>
      <w:proofErr w:type="spellEnd"/>
      <w:r w:rsidRPr="0092581A">
        <w:rPr>
          <w:rFonts w:ascii="Arial" w:eastAsia="Times New Roman" w:hAnsi="Arial" w:cs="Arial"/>
          <w:color w:val="000000"/>
          <w:sz w:val="24"/>
          <w:szCs w:val="24"/>
        </w:rPr>
        <w:t xml:space="preserve"> Limestone at Carbonate Camp, located approximately 5 kilometers to the west of the Blind Gold Property.</w:t>
      </w:r>
    </w:p>
    <w:p w:rsidR="001210F7" w:rsidRPr="0092581A" w:rsidRDefault="001210F7" w:rsidP="00EB6FB8">
      <w:pPr>
        <w:shd w:val="clear" w:color="auto" w:fill="FFFFFF"/>
        <w:spacing w:after="0" w:line="250" w:lineRule="atLeast"/>
        <w:rPr>
          <w:rFonts w:ascii="Arial" w:eastAsia="Times New Roman" w:hAnsi="Arial" w:cs="Arial"/>
          <w:color w:val="000000"/>
          <w:sz w:val="24"/>
          <w:szCs w:val="24"/>
        </w:rPr>
      </w:pPr>
    </w:p>
    <w:p w:rsidR="00EB6FB8" w:rsidRPr="0092581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All program samples collected are point or grab samples from in situ rock outcrop, dumps from historic workings, or float.  Sample size averaged 2 kilograms (“kg”) in weight, with none being less than 1.3 kg.  Samples were bagged and tagged in the field then retained in secure storage at the Company’s local field office until shipment.  Shipment was by </w:t>
      </w:r>
      <w:proofErr w:type="spellStart"/>
      <w:r w:rsidRPr="0092581A">
        <w:rPr>
          <w:rFonts w:ascii="Arial" w:eastAsia="Times New Roman" w:hAnsi="Arial" w:cs="Arial"/>
          <w:color w:val="000000"/>
          <w:sz w:val="24"/>
          <w:szCs w:val="24"/>
        </w:rPr>
        <w:t>Fedex</w:t>
      </w:r>
      <w:proofErr w:type="spellEnd"/>
      <w:r w:rsidRPr="0092581A">
        <w:rPr>
          <w:rFonts w:ascii="Arial" w:eastAsia="Times New Roman" w:hAnsi="Arial" w:cs="Arial"/>
          <w:color w:val="000000"/>
          <w:sz w:val="24"/>
          <w:szCs w:val="24"/>
        </w:rPr>
        <w:t xml:space="preserve"> to Sparks, Nevada.</w:t>
      </w:r>
    </w:p>
    <w:p w:rsidR="00751C5C" w:rsidRPr="0092581A" w:rsidRDefault="00751C5C" w:rsidP="00EB6FB8">
      <w:pPr>
        <w:shd w:val="clear" w:color="auto" w:fill="FFFFFF"/>
        <w:spacing w:after="0" w:line="250" w:lineRule="atLeast"/>
        <w:rPr>
          <w:rFonts w:ascii="Arial" w:eastAsia="Times New Roman" w:hAnsi="Arial" w:cs="Arial"/>
          <w:color w:val="000000"/>
          <w:sz w:val="24"/>
          <w:szCs w:val="24"/>
        </w:rPr>
      </w:pPr>
    </w:p>
    <w:p w:rsidR="00EB6FB8" w:rsidRPr="0092581A" w:rsidRDefault="00EB6FB8"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All sample preparation and fire assaying work has been performed by American Assay Laboratories Inc. (“American Assay”) in Sparks, Nevada.  American Assay is an ISO 17025:2005 accredited laboratory.  Samples were fire assayed with a 1 assay ton (30 gram) aliquot with induced coupled plasma (“ICP”) finish.  Internal laboratory quality controls were relied upon for these reconnaissance-style samples.  These controls included re-runs and the insertion of both blank and Standardized Reference samples.</w:t>
      </w:r>
    </w:p>
    <w:p w:rsidR="00604247" w:rsidRPr="0092581A" w:rsidRDefault="00604247" w:rsidP="00EB6FB8">
      <w:pPr>
        <w:shd w:val="clear" w:color="auto" w:fill="FFFFFF"/>
        <w:spacing w:after="0" w:line="250" w:lineRule="atLeast"/>
        <w:rPr>
          <w:rFonts w:ascii="Arial" w:eastAsia="Times New Roman" w:hAnsi="Arial" w:cs="Arial"/>
          <w:color w:val="000000"/>
          <w:sz w:val="24"/>
          <w:szCs w:val="24"/>
        </w:rPr>
      </w:pPr>
    </w:p>
    <w:p w:rsidR="00604247" w:rsidRPr="0092581A" w:rsidRDefault="00C344B9" w:rsidP="00EB6FB8">
      <w:pPr>
        <w:shd w:val="clear" w:color="auto" w:fill="FFFFFF"/>
        <w:spacing w:after="0" w:line="250" w:lineRule="atLeast"/>
        <w:rPr>
          <w:rFonts w:ascii="Arial" w:eastAsia="Times New Roman" w:hAnsi="Arial" w:cs="Arial"/>
          <w:color w:val="000000"/>
          <w:sz w:val="24"/>
          <w:szCs w:val="24"/>
        </w:rPr>
      </w:pPr>
      <w:r w:rsidRPr="0092581A">
        <w:rPr>
          <w:rFonts w:ascii="Arial" w:eastAsia="Times New Roman" w:hAnsi="Arial" w:cs="Arial"/>
          <w:color w:val="000000"/>
          <w:sz w:val="24"/>
          <w:szCs w:val="24"/>
        </w:rPr>
        <w:t xml:space="preserve">In conjunction with this press release, we encourage investors to read our </w:t>
      </w:r>
      <w:r w:rsidR="00426955" w:rsidRPr="0092581A">
        <w:rPr>
          <w:rFonts w:ascii="Arial" w:eastAsia="Times New Roman" w:hAnsi="Arial" w:cs="Arial"/>
          <w:color w:val="000000"/>
          <w:sz w:val="24"/>
          <w:szCs w:val="24"/>
        </w:rPr>
        <w:t>recent</w:t>
      </w:r>
      <w:r w:rsidRPr="0092581A">
        <w:rPr>
          <w:rFonts w:ascii="Arial" w:eastAsia="Times New Roman" w:hAnsi="Arial" w:cs="Arial"/>
          <w:color w:val="000000"/>
          <w:sz w:val="24"/>
          <w:szCs w:val="24"/>
        </w:rPr>
        <w:t xml:space="preserve"> </w:t>
      </w:r>
      <w:r w:rsidR="00B94E27" w:rsidRPr="0092581A">
        <w:rPr>
          <w:rFonts w:ascii="Arial" w:eastAsia="Times New Roman" w:hAnsi="Arial" w:cs="Arial"/>
          <w:color w:val="000000"/>
          <w:sz w:val="24"/>
          <w:szCs w:val="24"/>
        </w:rPr>
        <w:t>announcements</w:t>
      </w:r>
      <w:bookmarkStart w:id="0" w:name="_GoBack"/>
      <w:bookmarkEnd w:id="0"/>
      <w:r w:rsidRPr="0092581A">
        <w:rPr>
          <w:rFonts w:ascii="Arial" w:eastAsia="Times New Roman" w:hAnsi="Arial" w:cs="Arial"/>
          <w:color w:val="000000"/>
          <w:sz w:val="24"/>
          <w:szCs w:val="24"/>
        </w:rPr>
        <w:t xml:space="preserve"> about our properties and drill program planned for 2016 to further delineate resources:</w:t>
      </w:r>
    </w:p>
    <w:p w:rsidR="00C344B9" w:rsidRPr="0092581A" w:rsidRDefault="00C344B9" w:rsidP="00EB6FB8">
      <w:pPr>
        <w:shd w:val="clear" w:color="auto" w:fill="FFFFFF"/>
        <w:spacing w:after="0" w:line="250" w:lineRule="atLeast"/>
        <w:rPr>
          <w:rFonts w:ascii="Arial" w:eastAsia="Times New Roman" w:hAnsi="Arial" w:cs="Arial"/>
          <w:color w:val="000000"/>
          <w:sz w:val="24"/>
          <w:szCs w:val="24"/>
        </w:rPr>
      </w:pPr>
    </w:p>
    <w:p w:rsidR="00C344B9" w:rsidRPr="0092581A" w:rsidRDefault="00E81005" w:rsidP="00EB6FB8">
      <w:pPr>
        <w:shd w:val="clear" w:color="auto" w:fill="FFFFFF"/>
        <w:spacing w:after="0" w:line="250" w:lineRule="atLeast"/>
        <w:rPr>
          <w:rFonts w:ascii="Arial" w:eastAsia="Times New Roman" w:hAnsi="Arial" w:cs="Arial"/>
          <w:color w:val="000000"/>
          <w:sz w:val="24"/>
          <w:szCs w:val="24"/>
        </w:rPr>
      </w:pPr>
      <w:hyperlink r:id="rId4" w:history="1">
        <w:r w:rsidR="00C344B9" w:rsidRPr="0092581A">
          <w:rPr>
            <w:rStyle w:val="Hyperlink"/>
            <w:rFonts w:ascii="Arial" w:eastAsia="Times New Roman" w:hAnsi="Arial" w:cs="Arial"/>
            <w:sz w:val="24"/>
            <w:szCs w:val="24"/>
          </w:rPr>
          <w:t>http://www.dakotatrc.com/news/groundbreaking-insight-into-the-gold-potential-at-dakota-territory-resources-homestake-paleoplacer-project/</w:t>
        </w:r>
      </w:hyperlink>
    </w:p>
    <w:p w:rsidR="00C344B9" w:rsidRPr="0092581A" w:rsidRDefault="00C344B9" w:rsidP="00EB6FB8">
      <w:pPr>
        <w:shd w:val="clear" w:color="auto" w:fill="FFFFFF"/>
        <w:spacing w:after="0" w:line="250" w:lineRule="atLeast"/>
        <w:rPr>
          <w:rFonts w:ascii="Arial" w:eastAsia="Times New Roman" w:hAnsi="Arial" w:cs="Arial"/>
          <w:color w:val="000000"/>
          <w:sz w:val="24"/>
          <w:szCs w:val="24"/>
        </w:rPr>
      </w:pPr>
    </w:p>
    <w:p w:rsidR="00C344B9" w:rsidRPr="0092581A" w:rsidRDefault="00E81005" w:rsidP="00EB6FB8">
      <w:pPr>
        <w:shd w:val="clear" w:color="auto" w:fill="FFFFFF"/>
        <w:spacing w:after="0" w:line="250" w:lineRule="atLeast"/>
        <w:rPr>
          <w:rFonts w:ascii="Arial" w:eastAsia="Times New Roman" w:hAnsi="Arial" w:cs="Arial"/>
          <w:color w:val="000000"/>
          <w:sz w:val="24"/>
          <w:szCs w:val="24"/>
        </w:rPr>
      </w:pPr>
      <w:hyperlink r:id="rId5" w:history="1">
        <w:r w:rsidR="00C344B9" w:rsidRPr="0092581A">
          <w:rPr>
            <w:rStyle w:val="Hyperlink"/>
            <w:rFonts w:ascii="Arial" w:eastAsia="Times New Roman" w:hAnsi="Arial" w:cs="Arial"/>
            <w:sz w:val="24"/>
            <w:szCs w:val="24"/>
          </w:rPr>
          <w:t>http://www.dakotatrc.com/news/dakota-territory-selects-homestake-paleoplacer-properties-as-target-for-drill-program-target-one-mile-north-of-lode-source-that-produced-approximately-40-million-ounces-of-gold/</w:t>
        </w:r>
      </w:hyperlink>
    </w:p>
    <w:p w:rsidR="00C344B9" w:rsidRDefault="00C344B9" w:rsidP="00EB6FB8">
      <w:pPr>
        <w:shd w:val="clear" w:color="auto" w:fill="FFFFFF"/>
        <w:spacing w:after="0" w:line="250" w:lineRule="atLeast"/>
        <w:rPr>
          <w:rFonts w:ascii="Trebuchet MS" w:eastAsia="Times New Roman" w:hAnsi="Trebuchet MS" w:cs="Times New Roman"/>
          <w:color w:val="000000"/>
          <w:sz w:val="16"/>
          <w:szCs w:val="16"/>
        </w:rPr>
      </w:pP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Pr>
          <w:rFonts w:ascii="Arial" w:eastAsia="Times New Roman" w:hAnsi="Arial" w:cs="Arial"/>
          <w:b/>
          <w:bCs/>
          <w:color w:val="000000"/>
          <w:sz w:val="24"/>
          <w:szCs w:val="24"/>
        </w:rPr>
        <w:t>A</w:t>
      </w:r>
      <w:r w:rsidRPr="00B75FB8">
        <w:rPr>
          <w:rFonts w:ascii="Arial" w:eastAsia="Times New Roman" w:hAnsi="Arial" w:cs="Arial"/>
          <w:b/>
          <w:bCs/>
          <w:color w:val="000000"/>
          <w:sz w:val="24"/>
          <w:szCs w:val="24"/>
        </w:rPr>
        <w:t>bout Dakota Territory Resource Corp</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Dakota Territory Resource Corp. is a Nevada Corporation with offices located at Reno, Nevada.  Dakota Territory is committed to creating shareholder value through the </w:t>
      </w:r>
      <w:r w:rsidRPr="00B75FB8">
        <w:rPr>
          <w:rFonts w:ascii="Arial" w:eastAsia="Times New Roman" w:hAnsi="Arial" w:cs="Arial"/>
          <w:color w:val="000000"/>
          <w:sz w:val="24"/>
          <w:szCs w:val="24"/>
        </w:rPr>
        <w:lastRenderedPageBreak/>
        <w:t>acquisition and responsible exploration and development of high caliber gold properties in the Black Hills of South Dakota.</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In terms of total historic US gold production, the Black Hills ranks second only to the Carlin District of northeast Nevada, with the gold production of the Black Hills concentrated in a 100 square mile area known as the Homestake District.  Dakota Territory maintains 100% ownership of three mineral properties including the Blind Gold, City Creek and Homestake Paleoplacer Properties, all of which are located in the heart of the Homestake District and cover a total of approximately 3,057 acres. The Blind Gold Property is located approximately 4 miles northwest and on structural trend with the historic Homestake Gold Mine. Through its 125-year production history, the Homestake Gold Mine produced approximately 40 million ounces of gold and is the largest iron-formation-hosted gold deposit in the world</w:t>
      </w:r>
      <w:r>
        <w:rPr>
          <w:rFonts w:ascii="Arial" w:eastAsia="Times New Roman" w:hAnsi="Arial" w:cs="Arial"/>
          <w:color w:val="000000"/>
          <w:sz w:val="24"/>
          <w:szCs w:val="24"/>
        </w:rPr>
        <w:t>.</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 xml:space="preserve">In the 1980′s and 1990′s Homestake Mining Company undertook a $70 million exploration program managed by Richard Bachman, </w:t>
      </w:r>
      <w:r>
        <w:rPr>
          <w:rFonts w:ascii="Arial" w:eastAsia="Times New Roman" w:hAnsi="Arial" w:cs="Arial"/>
          <w:color w:val="000000"/>
          <w:sz w:val="24"/>
          <w:szCs w:val="24"/>
        </w:rPr>
        <w:t>P</w:t>
      </w:r>
      <w:r w:rsidRPr="00B75FB8">
        <w:rPr>
          <w:rFonts w:ascii="Arial" w:eastAsia="Times New Roman" w:hAnsi="Arial" w:cs="Arial"/>
          <w:color w:val="000000"/>
          <w:sz w:val="24"/>
          <w:szCs w:val="24"/>
        </w:rPr>
        <w:t xml:space="preserve">resident and </w:t>
      </w:r>
      <w:r>
        <w:rPr>
          <w:rFonts w:ascii="Arial" w:eastAsia="Times New Roman" w:hAnsi="Arial" w:cs="Arial"/>
          <w:color w:val="000000"/>
          <w:sz w:val="24"/>
          <w:szCs w:val="24"/>
        </w:rPr>
        <w:t>CEO</w:t>
      </w:r>
      <w:r w:rsidRPr="00B75FB8">
        <w:rPr>
          <w:rFonts w:ascii="Arial" w:eastAsia="Times New Roman" w:hAnsi="Arial" w:cs="Arial"/>
          <w:color w:val="000000"/>
          <w:sz w:val="24"/>
          <w:szCs w:val="24"/>
        </w:rPr>
        <w:t xml:space="preserve"> of Dakota Territory that was focused primarily on the search for a repeat of the Homestake Mine. This program successfully discovered significant new gold mineralization beyond the confines of the producing mine, demonstrating repeatability and the potential for additional gold deposits in the Homestake iron-formation host.  This program also proved the continuous extension of the Homestake iron-formation to a distance of approximately 4 miles from the producing mine and under the Blind Gold Property.</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Dakota Territory Resource Corp is uniquely positioned to leverage Management’s extensive exploration and mining experience in the Black Hills of South Dakota with Homestake Mining Company.   For more information on Dakota Territory, please visit the Company's website at </w:t>
      </w:r>
      <w:hyperlink r:id="rId6" w:tgtFrame="_blank" w:history="1">
        <w:r w:rsidRPr="00B75FB8">
          <w:rPr>
            <w:rFonts w:ascii="Arial" w:eastAsia="Times New Roman" w:hAnsi="Arial" w:cs="Arial"/>
            <w:color w:val="165788"/>
            <w:sz w:val="24"/>
            <w:szCs w:val="24"/>
            <w:u w:val="single"/>
          </w:rPr>
          <w:t>http://DakotaTRC.com/</w:t>
        </w:r>
      </w:hyperlink>
      <w:r w:rsidRPr="00B75FB8">
        <w:rPr>
          <w:rFonts w:ascii="Arial" w:eastAsia="Times New Roman" w:hAnsi="Arial" w:cs="Arial"/>
          <w:color w:val="000000"/>
          <w:sz w:val="24"/>
          <w:szCs w:val="24"/>
        </w:rPr>
        <w:t>.</w:t>
      </w:r>
    </w:p>
    <w:p w:rsidR="0092581A" w:rsidRDefault="0092581A" w:rsidP="0092581A">
      <w:pPr>
        <w:spacing w:before="100" w:beforeAutospacing="1" w:after="100" w:afterAutospacing="1" w:line="360" w:lineRule="atLeast"/>
        <w:rPr>
          <w:rFonts w:ascii="Arial" w:eastAsia="Times New Roman" w:hAnsi="Arial" w:cs="Arial"/>
          <w:b/>
          <w:bCs/>
          <w:color w:val="000000"/>
          <w:sz w:val="24"/>
          <w:szCs w:val="24"/>
        </w:rPr>
      </w:pP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Investor Relations</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t>Investor Relations Contact: For more information, please contact Dakota Territory Resource Corp </w:t>
      </w:r>
      <w:r w:rsidR="00E81005">
        <w:rPr>
          <w:rFonts w:ascii="Arial" w:eastAsia="Times New Roman" w:hAnsi="Arial" w:cs="Arial"/>
          <w:noProof/>
          <w:color w:val="000000"/>
          <w:sz w:val="24"/>
          <w:szCs w:val="24"/>
        </w:rPr>
      </w:r>
      <w:r w:rsidR="00E81005">
        <w:rPr>
          <w:rFonts w:ascii="Arial" w:eastAsia="Times New Roman" w:hAnsi="Arial" w:cs="Arial"/>
          <w:noProof/>
          <w:color w:val="000000"/>
          <w:sz w:val="24"/>
          <w:szCs w:val="24"/>
        </w:rPr>
        <w:pict>
          <v:rect id="AutoShape 4" o:spid="_x0000_s1026" alt="chrome-extension://lifbcibllhkdhoafpjfnlhfpfgnpldfl/call_skype_logo.png" style="width:24pt;height:24pt;visibility:visible;mso-position-horizontal-relative:char;mso-position-vertical-relative:line" filled="f" stroked="f">
            <o:lock v:ext="edit" aspectratio="t"/>
            <w10:wrap type="none"/>
            <w10:anchorlock/>
          </v:rect>
        </w:pict>
      </w:r>
      <w:r w:rsidRPr="00B75FB8">
        <w:rPr>
          <w:rFonts w:ascii="Arial" w:eastAsia="Times New Roman" w:hAnsi="Arial" w:cs="Arial"/>
          <w:color w:val="000000"/>
          <w:sz w:val="24"/>
          <w:szCs w:val="24"/>
        </w:rPr>
        <w:t>(775) 747-0667</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Cautionary Note to U.S. Investors</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color w:val="000000"/>
          <w:sz w:val="24"/>
          <w:szCs w:val="24"/>
        </w:rPr>
        <w:lastRenderedPageBreak/>
        <w:t>The United States Securities and Exchange Commission (“SEC”) limits disclosure for U.S. reporting purposes to mineral deposits that a company can economically and legally extract or produce.  Our property currently does not contain any known proven or probable ore reserves under SEC reporting standards.  Our reference above to the various formations and mineralization believed to exist in our property as compared to historical results and estimates from other property in the district is illustrative only for comparative purposes and is no indication that similar results will be obtained with respect to our property.  U.S. investors are urged to consider closely the disclosure in our latest reports filed with the SEC.  You can review and obtain copies of these filings at </w:t>
      </w:r>
      <w:hyperlink r:id="rId7" w:tgtFrame="_blank" w:history="1">
        <w:r w:rsidRPr="00B75FB8">
          <w:rPr>
            <w:rFonts w:ascii="Arial" w:eastAsia="Times New Roman" w:hAnsi="Arial" w:cs="Arial"/>
            <w:color w:val="165788"/>
            <w:sz w:val="24"/>
            <w:szCs w:val="24"/>
            <w:u w:val="single"/>
          </w:rPr>
          <w:t>http://www.sec.gov/edgar.shtml</w:t>
        </w:r>
      </w:hyperlink>
      <w:r w:rsidRPr="00B75FB8">
        <w:rPr>
          <w:rFonts w:ascii="Arial" w:eastAsia="Times New Roman" w:hAnsi="Arial" w:cs="Arial"/>
          <w:color w:val="000000"/>
          <w:sz w:val="24"/>
          <w:szCs w:val="24"/>
        </w:rPr>
        <w:t>.</w:t>
      </w:r>
    </w:p>
    <w:p w:rsidR="0092581A" w:rsidRPr="00B75FB8" w:rsidRDefault="0092581A" w:rsidP="0092581A">
      <w:pPr>
        <w:spacing w:before="100" w:beforeAutospacing="1" w:after="100" w:afterAutospacing="1" w:line="360" w:lineRule="atLeast"/>
        <w:rPr>
          <w:rFonts w:ascii="Arial" w:eastAsia="Times New Roman" w:hAnsi="Arial" w:cs="Arial"/>
          <w:color w:val="000000"/>
          <w:sz w:val="24"/>
          <w:szCs w:val="24"/>
        </w:rPr>
      </w:pPr>
      <w:r w:rsidRPr="00B75FB8">
        <w:rPr>
          <w:rFonts w:ascii="Arial" w:eastAsia="Times New Roman" w:hAnsi="Arial" w:cs="Arial"/>
          <w:b/>
          <w:bCs/>
          <w:color w:val="000000"/>
          <w:sz w:val="24"/>
          <w:szCs w:val="24"/>
        </w:rPr>
        <w:t>Safe Harbor Statement</w:t>
      </w:r>
    </w:p>
    <w:p w:rsidR="00343815" w:rsidRDefault="0092581A" w:rsidP="00E957DA">
      <w:pPr>
        <w:spacing w:before="100" w:beforeAutospacing="1" w:after="100" w:afterAutospacing="1" w:line="360" w:lineRule="atLeast"/>
      </w:pPr>
      <w:r w:rsidRPr="00B75FB8">
        <w:rPr>
          <w:rFonts w:ascii="Arial" w:eastAsia="Times New Roman" w:hAnsi="Arial" w:cs="Arial"/>
          <w:color w:val="000000"/>
          <w:sz w:val="24"/>
          <w:szCs w:val="24"/>
        </w:rPr>
        <w:t>This release contains forward-looking statements that are based upon current expectations or beliefs, as well as a number of assumptions about future events. Although we believe that the expectations reflected in the forward-looking statements and the assumptions upon which they are based are reasonable, we can give no assurance that such expectations and assumptions will prove to have been correct. Forward-looking statements are generally identifiable by the use of words like "may," "will," "should," "could," "expect," "anticipate," "estimate," "believe," "intend," or "project" or the negative of these words or other variations on these words or comparable terminology. The reader is cautioned not to put undue reliance on these forward-looking statements, as these statements are subject to numerous factors and uncertainties, including but not limited to: adverse economic conditions, competition, adverse federal, state and local government regulation, inadequate capital, inability to carry out research, development and commercialization plans, loss or retirement of key executives and other specific risks. To the extent that statements in this press release are not strictly historical, including statements as to revenue projections, business strategy, outlook, objectives, future milestones, plans, intentions, goals, future financial conditions, events conditioned on stockholder or other approval, or otherwise as to future events, such statements are forward-looking, and are made pursuant to the safe harbor provisions of the Private Securities Litigation Reform Act of 1995. The forward-looking statements contained in this release are subject to certain risks and uncertainties that could cause actual results to differ materially from the statements made. Readers are advised to review our filings with the Securities and Exchange Commission that can be accessed over the Internet at the SEC's website located at </w:t>
      </w:r>
      <w:hyperlink r:id="rId8" w:tgtFrame="_blank" w:history="1">
        <w:r w:rsidRPr="00B75FB8">
          <w:rPr>
            <w:rFonts w:ascii="Arial" w:eastAsia="Times New Roman" w:hAnsi="Arial" w:cs="Arial"/>
            <w:color w:val="165788"/>
            <w:sz w:val="24"/>
            <w:szCs w:val="24"/>
            <w:u w:val="single"/>
          </w:rPr>
          <w:t>http://www.sec.gov</w:t>
        </w:r>
      </w:hyperlink>
      <w:r w:rsidRPr="00B75FB8">
        <w:rPr>
          <w:rFonts w:ascii="Arial" w:eastAsia="Times New Roman" w:hAnsi="Arial" w:cs="Arial"/>
          <w:color w:val="000000"/>
          <w:sz w:val="24"/>
          <w:szCs w:val="24"/>
        </w:rPr>
        <w:t>.</w:t>
      </w:r>
    </w:p>
    <w:sectPr w:rsidR="00343815" w:rsidSect="003438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B6FB8"/>
    <w:rsid w:val="000418CB"/>
    <w:rsid w:val="001210F7"/>
    <w:rsid w:val="001F145D"/>
    <w:rsid w:val="00343815"/>
    <w:rsid w:val="00426955"/>
    <w:rsid w:val="00463B10"/>
    <w:rsid w:val="005311EE"/>
    <w:rsid w:val="00604247"/>
    <w:rsid w:val="006A0150"/>
    <w:rsid w:val="006C46B2"/>
    <w:rsid w:val="006E3D1E"/>
    <w:rsid w:val="00751C5C"/>
    <w:rsid w:val="0092581A"/>
    <w:rsid w:val="00AB3BEC"/>
    <w:rsid w:val="00B94E27"/>
    <w:rsid w:val="00C344B9"/>
    <w:rsid w:val="00C65A3D"/>
    <w:rsid w:val="00E81005"/>
    <w:rsid w:val="00E957DA"/>
    <w:rsid w:val="00EB6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15"/>
  </w:style>
  <w:style w:type="paragraph" w:styleId="Heading1">
    <w:name w:val="heading 1"/>
    <w:basedOn w:val="Normal"/>
    <w:link w:val="Heading1Char"/>
    <w:uiPriority w:val="9"/>
    <w:qFormat/>
    <w:rsid w:val="00EB6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6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4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815"/>
  </w:style>
  <w:style w:type="paragraph" w:styleId="Heading1">
    <w:name w:val="heading 1"/>
    <w:basedOn w:val="Normal"/>
    <w:link w:val="Heading1Char"/>
    <w:uiPriority w:val="9"/>
    <w:qFormat/>
    <w:rsid w:val="00EB6F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F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B6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4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02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enewswire.com/Tracker?data=HF4RE_hRBo0rLN4C_h7bKwgKXnKtrz8dZhD9Q5vHvxC6lqm7I8WnobO02UxJJcsdOSqY212JWAKntECBHWZHIQ==" TargetMode="External"/><Relationship Id="rId3" Type="http://schemas.openxmlformats.org/officeDocument/2006/relationships/webSettings" Target="webSettings.xml"/><Relationship Id="rId7" Type="http://schemas.openxmlformats.org/officeDocument/2006/relationships/hyperlink" Target="http://www.globenewswire.com/Tracker?data=HF4RE_hRBo0rLN4C_h7bK7bbeVOM6dLZbRZuHX9XsjB0yF4Z7F73LLqFCSpJ-cNiQgbUx450RSiKpkKkYYl8nPj7QVQkC1D8uZn-lPoQQbH9QhdH3c57vowj8HxQW-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enewswire.com/Tracker?data=HF4RE_hRBo0rLN4C_h7bK4OtFFupFb0dD7xlOOYshwemCvYWEru2c-fjTUbTm0QadbYfnkaGgGAjoh6Vy26BT5dcdSC7KVqUfGDCAShArG8=" TargetMode="External"/><Relationship Id="rId11" Type="http://schemas.microsoft.com/office/2007/relationships/stylesWithEffects" Target="stylesWithEffects.xml"/><Relationship Id="rId5" Type="http://schemas.openxmlformats.org/officeDocument/2006/relationships/hyperlink" Target="http://www.dakotatrc.com/news/dakota-territory-selects-homestake-paleoplacer-properties-as-target-for-drill-program-target-one-mile-north-of-lode-source-that-produced-approximately-40-million-ounces-of-gold/" TargetMode="External"/><Relationship Id="rId10" Type="http://schemas.openxmlformats.org/officeDocument/2006/relationships/theme" Target="theme/theme1.xml"/><Relationship Id="rId4" Type="http://schemas.openxmlformats.org/officeDocument/2006/relationships/hyperlink" Target="http://www.dakotatrc.com/news/groundbreaking-insight-into-the-gold-potential-at-dakota-territory-resources-homestake-paleoplacer-projec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Office</dc:creator>
  <cp:lastModifiedBy>Rick Office</cp:lastModifiedBy>
  <cp:revision>4</cp:revision>
  <dcterms:created xsi:type="dcterms:W3CDTF">2016-03-22T05:55:00Z</dcterms:created>
  <dcterms:modified xsi:type="dcterms:W3CDTF">2016-03-22T06:00:00Z</dcterms:modified>
</cp:coreProperties>
</file>